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96586" w14:textId="3B962C67" w:rsidR="006A7D3B" w:rsidRPr="00940DAB" w:rsidRDefault="00FF7C5F" w:rsidP="005A506E">
      <w:pPr>
        <w:jc w:val="both"/>
        <w:rPr>
          <w:b/>
          <w:bCs/>
        </w:rPr>
      </w:pPr>
      <w:r w:rsidRPr="00940DAB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DAF7A5" wp14:editId="452EB7B7">
                <wp:simplePos x="0" y="0"/>
                <wp:positionH relativeFrom="margin">
                  <wp:align>left</wp:align>
                </wp:positionH>
                <wp:positionV relativeFrom="paragraph">
                  <wp:posOffset>273957</wp:posOffset>
                </wp:positionV>
                <wp:extent cx="1828800" cy="7946390"/>
                <wp:effectExtent l="0" t="0" r="20320" b="1651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94657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04BABA" w14:textId="77777777" w:rsidR="00BE2C22" w:rsidRPr="00F5364F" w:rsidRDefault="00BE2C22" w:rsidP="00BE2C22">
                            <w:pPr>
                              <w:pStyle w:val="Ttulo2"/>
                              <w:jc w:val="both"/>
                            </w:pPr>
                            <w:r w:rsidRPr="00F5364F">
                              <w:rPr>
                                <w:caps w:val="0"/>
                              </w:rPr>
                              <w:t xml:space="preserve">Metodología </w:t>
                            </w:r>
                          </w:p>
                          <w:p w14:paraId="1F7C3B14" w14:textId="7EE4AD4E" w:rsidR="00BE2C22" w:rsidRDefault="00BE2C22" w:rsidP="00BE2C22">
                            <w:pPr>
                              <w:jc w:val="both"/>
                            </w:pPr>
                            <w:r w:rsidRPr="00F5364F">
                              <w:t xml:space="preserve">Se realizó un informe descriptivo de los casos notificados durante la semana epidemiológica </w:t>
                            </w:r>
                            <w:r>
                              <w:t>2</w:t>
                            </w:r>
                            <w:r w:rsidR="0085319E">
                              <w:t>5</w:t>
                            </w:r>
                            <w:r>
                              <w:t xml:space="preserve"> </w:t>
                            </w:r>
                            <w:r w:rsidRPr="00F5364F">
                              <w:t>de 202</w:t>
                            </w:r>
                            <w:r>
                              <w:t>3</w:t>
                            </w:r>
                            <w:r w:rsidRPr="00F5364F">
                              <w:t>, teniendo en cuenta las variables de tiempo, persona y lugar contenidas en la ficha de datos básicos y complementarios</w:t>
                            </w:r>
                            <w:r>
                              <w:t xml:space="preserve"> del evento de dengue, dengue grave y mortalidad por dengue (Código </w:t>
                            </w:r>
                            <w:r w:rsidRPr="00747AF0">
                              <w:t xml:space="preserve">INS 210, 220 y 580). </w:t>
                            </w:r>
                          </w:p>
                          <w:p w14:paraId="7BF32902" w14:textId="77777777" w:rsidR="00BE2C22" w:rsidRDefault="00BE2C22" w:rsidP="00BE2C22">
                            <w:pPr>
                              <w:jc w:val="both"/>
                            </w:pPr>
                            <w:r w:rsidRPr="0076316C">
                              <w:t xml:space="preserve">Para el análisis de la información se tuvo en cuenta las </w:t>
                            </w:r>
                            <w:r>
                              <w:t xml:space="preserve">siguientes </w:t>
                            </w:r>
                            <w:r w:rsidRPr="0076316C">
                              <w:t xml:space="preserve">definiciones de caso establecidas en el </w:t>
                            </w:r>
                            <w:r>
                              <w:t>p</w:t>
                            </w:r>
                            <w:r w:rsidRPr="0076316C">
                              <w:t xml:space="preserve">rotocolo de </w:t>
                            </w:r>
                            <w:r>
                              <w:t>vigilancia en salud pública del evento</w:t>
                            </w:r>
                            <w:r>
                              <w:rPr>
                                <w:vertAlign w:val="superscript"/>
                              </w:rPr>
                              <w:t>1</w:t>
                            </w:r>
                            <w:r>
                              <w:t>:</w:t>
                            </w:r>
                          </w:p>
                          <w:p w14:paraId="3A791B27" w14:textId="77777777" w:rsidR="00BE2C22" w:rsidRDefault="00BE2C22" w:rsidP="00BE2C22">
                            <w:pPr>
                              <w:jc w:val="both"/>
                            </w:pPr>
                            <w:r w:rsidRPr="00E448E8">
                              <w:rPr>
                                <w:b/>
                                <w:bCs/>
                              </w:rPr>
                              <w:t>Caso probable de dengue:</w:t>
                            </w:r>
                            <w:r w:rsidRPr="0076316C">
                              <w:t xml:space="preserve"> Paciente procedente de área endémica que cumple con la definición de dengue con o sin signos de alarma. </w:t>
                            </w:r>
                          </w:p>
                          <w:p w14:paraId="53137086" w14:textId="77777777" w:rsidR="00BE2C22" w:rsidRDefault="00BE2C22" w:rsidP="00BE2C2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 w:rsidRPr="00F66C6B">
                              <w:rPr>
                                <w:b/>
                                <w:bCs/>
                              </w:rPr>
                              <w:t>Dengue sin signos de alarma:</w:t>
                            </w:r>
                            <w:r w:rsidRPr="0076316C">
                              <w:t xml:space="preserve"> </w:t>
                            </w:r>
                            <w:r>
                              <w:t>e</w:t>
                            </w:r>
                            <w:r w:rsidRPr="0076316C">
                              <w:t xml:space="preserve">nfermedad febril aguda de 2 a 7 días de evolución en la que se observan dos o más de las siguientes manifestaciones: cefalea, dolor </w:t>
                            </w:r>
                            <w:proofErr w:type="spellStart"/>
                            <w:r w:rsidRPr="0076316C">
                              <w:t>retro-ocular</w:t>
                            </w:r>
                            <w:proofErr w:type="spellEnd"/>
                            <w:r w:rsidRPr="0076316C">
                              <w:t xml:space="preserve">, mialgias, artralgias, erupción cutánea, </w:t>
                            </w:r>
                            <w:proofErr w:type="spellStart"/>
                            <w:r w:rsidRPr="0076316C">
                              <w:t>rash</w:t>
                            </w:r>
                            <w:proofErr w:type="spellEnd"/>
                            <w:r w:rsidRPr="0076316C">
                              <w:t xml:space="preserve"> o leucopenia.</w:t>
                            </w:r>
                          </w:p>
                          <w:p w14:paraId="2BD097DA" w14:textId="77777777" w:rsidR="00BE2C22" w:rsidRDefault="00BE2C22" w:rsidP="00BE2C2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 w:rsidRPr="008C4AD6">
                              <w:rPr>
                                <w:b/>
                                <w:bCs/>
                              </w:rPr>
                              <w:t>Dengue con signos de alarma:</w:t>
                            </w:r>
                            <w:r w:rsidRPr="0076316C">
                              <w:t xml:space="preserve"> </w:t>
                            </w:r>
                            <w:r>
                              <w:t>p</w:t>
                            </w:r>
                            <w:r w:rsidRPr="0076316C">
                              <w:t xml:space="preserve">aciente que cumple con la anterior definición y además presenta cualquiera de los siguientes signos de alarma: dolor abdominal intenso y continuo o dolor a la palpación, vómitos persistentes, diarrea, acumulación de líquidos (ascitis, derrame pleural, derrame pericárdico), sangrado en mucosas, letargo o irritabilidad (principalmente en niños), hipotensión postural, hepatomegalia dolorosa &gt;2 </w:t>
                            </w:r>
                            <w:proofErr w:type="spellStart"/>
                            <w:r w:rsidRPr="0076316C">
                              <w:t>cms</w:t>
                            </w:r>
                            <w:proofErr w:type="spellEnd"/>
                            <w:r w:rsidRPr="0076316C">
                              <w:t xml:space="preserve">, caída de la temperatura, caída abrupta de plaquetas (&lt;100.000) asociada a hemoconcentración. </w:t>
                            </w:r>
                          </w:p>
                          <w:p w14:paraId="7C5E517F" w14:textId="77777777" w:rsidR="00BE2C22" w:rsidRDefault="00BE2C22" w:rsidP="00BE2C2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 w:rsidRPr="00FB33FF">
                              <w:rPr>
                                <w:b/>
                                <w:bCs/>
                              </w:rPr>
                              <w:t>Dengue grave:</w:t>
                            </w:r>
                            <w:r w:rsidRPr="0076316C">
                              <w:t xml:space="preserve"> </w:t>
                            </w:r>
                            <w:r>
                              <w:t>t</w:t>
                            </w:r>
                            <w:r w:rsidRPr="0076316C">
                              <w:t xml:space="preserve">odo caso de dengue que cumple con cualquiera de las manifestaciones graves de dengue que se mencionan a continuación: • Extravasación severa de plasma: Que conduce a síndrome de choque por dengue o acúmulo de líquidos con dificultad respiratoria. • Hemorragias Severas: Paciente con enfermedad febril aguda, que presenta hemorragias severas con compromiso hemodinámico. • Daño grave de órganos: Paciente con enfermedad febril aguda y que presente signos clínicos o paraclínicos de daño severo de órganos como: daño hepático, daño del sistema nervioso central, corazón o afección de otros órganos.  </w:t>
                            </w:r>
                          </w:p>
                          <w:p w14:paraId="49696408" w14:textId="77777777" w:rsidR="00BE2C22" w:rsidRDefault="00BE2C22" w:rsidP="00BE2C2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rPr>
                                <w:b/>
                                <w:bCs/>
                              </w:rPr>
                              <w:t>M</w:t>
                            </w:r>
                            <w:r w:rsidRPr="00F6439D">
                              <w:rPr>
                                <w:b/>
                                <w:bCs/>
                              </w:rPr>
                              <w:t>uerte por dengue:</w:t>
                            </w:r>
                            <w:r w:rsidRPr="0076316C">
                              <w:t xml:space="preserve"> </w:t>
                            </w:r>
                            <w:r>
                              <w:t>t</w:t>
                            </w:r>
                            <w:r w:rsidRPr="0076316C">
                              <w:t>odo caso que fallece con diagnóstico de dengue grave.</w:t>
                            </w:r>
                          </w:p>
                          <w:p w14:paraId="6B2F5A26" w14:textId="77777777" w:rsidR="00BE2C22" w:rsidRDefault="00BE2C22" w:rsidP="00BE2C22">
                            <w:pPr>
                              <w:spacing w:after="0"/>
                              <w:jc w:val="both"/>
                            </w:pPr>
                            <w:r w:rsidRPr="00E448E8">
                              <w:rPr>
                                <w:b/>
                                <w:bCs/>
                              </w:rPr>
                              <w:t xml:space="preserve">Caso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confirmado </w:t>
                            </w:r>
                            <w:r w:rsidRPr="00E448E8">
                              <w:rPr>
                                <w:b/>
                                <w:bCs/>
                              </w:rPr>
                              <w:t>de dengue:</w:t>
                            </w:r>
                            <w:r>
                              <w:t xml:space="preserve"> c</w:t>
                            </w:r>
                            <w:r w:rsidRPr="00E448E8">
                              <w:t>aso probable de dengue, dengue grave, o mortalidad por dengue confirmado por alguno de los criterios de laboratorio para el diagnóstico de dengue: ELISA NS1, RT-PCR o aislamiento viral en pacientes con 5 días o menos de inicio de síntomas o prueba de IgM Dengue ELISA en pacientes con 6 o más días de inicio de síntomas.</w:t>
                            </w:r>
                          </w:p>
                          <w:p w14:paraId="12A25C71" w14:textId="77777777" w:rsidR="00BE2C22" w:rsidRDefault="00BE2C22" w:rsidP="00BE2C22">
                            <w:pPr>
                              <w:spacing w:after="0"/>
                              <w:jc w:val="both"/>
                            </w:pPr>
                          </w:p>
                          <w:p w14:paraId="79C11F9B" w14:textId="77777777" w:rsidR="00BE2C22" w:rsidRPr="00DD72B9" w:rsidRDefault="00BE2C22" w:rsidP="00BE2C22">
                            <w:pPr>
                              <w:spacing w:after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DD72B9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1.</w:t>
                            </w:r>
                            <w:r w:rsidRPr="00DD72B9">
                              <w:rPr>
                                <w:sz w:val="16"/>
                                <w:szCs w:val="16"/>
                              </w:rPr>
                              <w:t xml:space="preserve"> Instituto Nacional de Salud. Protocolo de vigilancia en salud pública de dengue. Versión 4. 20 de marzo de 2022. Disponible en:   https://www.ins.gov.co/buscador-eventos/Lineamientos/Pro_Dengue.pdf</w:t>
                            </w:r>
                          </w:p>
                          <w:p w14:paraId="437B2F31" w14:textId="3D059A7E" w:rsidR="00AC44E0" w:rsidRDefault="00AC44E0" w:rsidP="00D6698B">
                            <w:pPr>
                              <w:spacing w:after="0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DAF7A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21.55pt;width:2in;height:625.7pt;z-index:251661312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" filled="f" strokeweight=".5pt">
                <v:textbox>
                  <w:txbxContent>
                    <w:p w14:paraId="1B04BABA" w14:textId="77777777" w:rsidR="00BE2C22" w:rsidRPr="00F5364F" w:rsidRDefault="00BE2C22" w:rsidP="00BE2C22">
                      <w:pPr>
                        <w:pStyle w:val="Ttulo2"/>
                        <w:jc w:val="both"/>
                      </w:pPr>
                      <w:r w:rsidRPr="00F5364F">
                        <w:rPr>
                          <w:caps w:val="0"/>
                        </w:rPr>
                        <w:t xml:space="preserve">Metodología </w:t>
                      </w:r>
                    </w:p>
                    <w:p w14:paraId="1F7C3B14" w14:textId="7EE4AD4E" w:rsidR="00BE2C22" w:rsidRDefault="00BE2C22" w:rsidP="00BE2C22">
                      <w:pPr>
                        <w:jc w:val="both"/>
                      </w:pPr>
                      <w:r w:rsidRPr="00F5364F">
                        <w:t xml:space="preserve">Se realizó un informe descriptivo de los casos notificados durante la semana epidemiológica </w:t>
                      </w:r>
                      <w:r>
                        <w:t>2</w:t>
                      </w:r>
                      <w:r w:rsidR="0085319E">
                        <w:t>5</w:t>
                      </w:r>
                      <w:r>
                        <w:t xml:space="preserve"> </w:t>
                      </w:r>
                      <w:r w:rsidRPr="00F5364F">
                        <w:t>de 202</w:t>
                      </w:r>
                      <w:r>
                        <w:t>3</w:t>
                      </w:r>
                      <w:r w:rsidRPr="00F5364F">
                        <w:t>, teniendo en cuenta las variables de tiempo, persona y lugar contenidas en la ficha de datos básicos y complementarios</w:t>
                      </w:r>
                      <w:r>
                        <w:t xml:space="preserve"> del evento de dengue, dengue grave y mortalidad por dengue (Código </w:t>
                      </w:r>
                      <w:r w:rsidRPr="00747AF0">
                        <w:t xml:space="preserve">INS 210, 220 y 580). </w:t>
                      </w:r>
                    </w:p>
                    <w:p w14:paraId="7BF32902" w14:textId="77777777" w:rsidR="00BE2C22" w:rsidRDefault="00BE2C22" w:rsidP="00BE2C22">
                      <w:pPr>
                        <w:jc w:val="both"/>
                      </w:pPr>
                      <w:r w:rsidRPr="0076316C">
                        <w:t xml:space="preserve">Para el análisis de la información se tuvo en cuenta las </w:t>
                      </w:r>
                      <w:r>
                        <w:t xml:space="preserve">siguientes </w:t>
                      </w:r>
                      <w:r w:rsidRPr="0076316C">
                        <w:t xml:space="preserve">definiciones de caso establecidas en el </w:t>
                      </w:r>
                      <w:r>
                        <w:t>p</w:t>
                      </w:r>
                      <w:r w:rsidRPr="0076316C">
                        <w:t xml:space="preserve">rotocolo de </w:t>
                      </w:r>
                      <w:r>
                        <w:t>vigilancia en salud pública del evento</w:t>
                      </w:r>
                      <w:r>
                        <w:rPr>
                          <w:vertAlign w:val="superscript"/>
                        </w:rPr>
                        <w:t>1</w:t>
                      </w:r>
                      <w:r>
                        <w:t>:</w:t>
                      </w:r>
                    </w:p>
                    <w:p w14:paraId="3A791B27" w14:textId="77777777" w:rsidR="00BE2C22" w:rsidRDefault="00BE2C22" w:rsidP="00BE2C22">
                      <w:pPr>
                        <w:jc w:val="both"/>
                      </w:pPr>
                      <w:r w:rsidRPr="00E448E8">
                        <w:rPr>
                          <w:b/>
                          <w:bCs/>
                        </w:rPr>
                        <w:t>Caso probable de dengue:</w:t>
                      </w:r>
                      <w:r w:rsidRPr="0076316C">
                        <w:t xml:space="preserve"> Paciente procedente de área endémica que cumple con la definición de dengue con o sin signos de alarma. </w:t>
                      </w:r>
                    </w:p>
                    <w:p w14:paraId="53137086" w14:textId="77777777" w:rsidR="00BE2C22" w:rsidRDefault="00BE2C22" w:rsidP="00BE2C22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</w:pPr>
                      <w:r w:rsidRPr="00F66C6B">
                        <w:rPr>
                          <w:b/>
                          <w:bCs/>
                        </w:rPr>
                        <w:t>Dengue sin signos de alarma:</w:t>
                      </w:r>
                      <w:r w:rsidRPr="0076316C">
                        <w:t xml:space="preserve"> </w:t>
                      </w:r>
                      <w:r>
                        <w:t>e</w:t>
                      </w:r>
                      <w:r w:rsidRPr="0076316C">
                        <w:t xml:space="preserve">nfermedad febril aguda de 2 a 7 días de evolución en la que se observan dos o más de las siguientes manifestaciones: cefalea, dolor </w:t>
                      </w:r>
                      <w:proofErr w:type="spellStart"/>
                      <w:r w:rsidRPr="0076316C">
                        <w:t>retro-ocular</w:t>
                      </w:r>
                      <w:proofErr w:type="spellEnd"/>
                      <w:r w:rsidRPr="0076316C">
                        <w:t xml:space="preserve">, mialgias, artralgias, erupción cutánea, </w:t>
                      </w:r>
                      <w:proofErr w:type="spellStart"/>
                      <w:r w:rsidRPr="0076316C">
                        <w:t>rash</w:t>
                      </w:r>
                      <w:proofErr w:type="spellEnd"/>
                      <w:r w:rsidRPr="0076316C">
                        <w:t xml:space="preserve"> o leucopenia.</w:t>
                      </w:r>
                    </w:p>
                    <w:p w14:paraId="2BD097DA" w14:textId="77777777" w:rsidR="00BE2C22" w:rsidRDefault="00BE2C22" w:rsidP="00BE2C22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</w:pPr>
                      <w:r w:rsidRPr="008C4AD6">
                        <w:rPr>
                          <w:b/>
                          <w:bCs/>
                        </w:rPr>
                        <w:t>Dengue con signos de alarma:</w:t>
                      </w:r>
                      <w:r w:rsidRPr="0076316C">
                        <w:t xml:space="preserve"> </w:t>
                      </w:r>
                      <w:r>
                        <w:t>p</w:t>
                      </w:r>
                      <w:r w:rsidRPr="0076316C">
                        <w:t xml:space="preserve">aciente que cumple con la anterior definición y además presenta cualquiera de los siguientes signos de alarma: dolor abdominal intenso y continuo o dolor a la palpación, vómitos persistentes, diarrea, acumulación de líquidos (ascitis, derrame pleural, derrame pericárdico), sangrado en mucosas, letargo o irritabilidad (principalmente en niños), hipotensión postural, hepatomegalia dolorosa &gt;2 </w:t>
                      </w:r>
                      <w:proofErr w:type="spellStart"/>
                      <w:r w:rsidRPr="0076316C">
                        <w:t>cms</w:t>
                      </w:r>
                      <w:proofErr w:type="spellEnd"/>
                      <w:r w:rsidRPr="0076316C">
                        <w:t xml:space="preserve">, caída de la temperatura, caída abrupta de plaquetas (&lt;100.000) asociada a hemoconcentración. </w:t>
                      </w:r>
                    </w:p>
                    <w:p w14:paraId="7C5E517F" w14:textId="77777777" w:rsidR="00BE2C22" w:rsidRDefault="00BE2C22" w:rsidP="00BE2C22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</w:pPr>
                      <w:r w:rsidRPr="00FB33FF">
                        <w:rPr>
                          <w:b/>
                          <w:bCs/>
                        </w:rPr>
                        <w:t>Dengue grave:</w:t>
                      </w:r>
                      <w:r w:rsidRPr="0076316C">
                        <w:t xml:space="preserve"> </w:t>
                      </w:r>
                      <w:r>
                        <w:t>t</w:t>
                      </w:r>
                      <w:r w:rsidRPr="0076316C">
                        <w:t xml:space="preserve">odo caso de dengue que cumple con cualquiera de las manifestaciones graves de dengue que se mencionan a continuación: • Extravasación severa de plasma: Que conduce a síndrome de choque por dengue o acúmulo de líquidos con dificultad respiratoria. • Hemorragias Severas: Paciente con enfermedad febril aguda, que presenta hemorragias severas con compromiso hemodinámico. • Daño grave de órganos: Paciente con enfermedad febril aguda y que presente signos clínicos o paraclínicos de daño severo de órganos como: daño hepático, daño del sistema nervioso central, corazón o afección de otros órganos.  </w:t>
                      </w:r>
                    </w:p>
                    <w:p w14:paraId="49696408" w14:textId="77777777" w:rsidR="00BE2C22" w:rsidRDefault="00BE2C22" w:rsidP="00BE2C22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rPr>
                          <w:b/>
                          <w:bCs/>
                        </w:rPr>
                        <w:t>M</w:t>
                      </w:r>
                      <w:r w:rsidRPr="00F6439D">
                        <w:rPr>
                          <w:b/>
                          <w:bCs/>
                        </w:rPr>
                        <w:t>uerte por dengue:</w:t>
                      </w:r>
                      <w:r w:rsidRPr="0076316C">
                        <w:t xml:space="preserve"> </w:t>
                      </w:r>
                      <w:r>
                        <w:t>t</w:t>
                      </w:r>
                      <w:r w:rsidRPr="0076316C">
                        <w:t>odo caso que fallece con diagnóstico de dengue grave.</w:t>
                      </w:r>
                    </w:p>
                    <w:p w14:paraId="6B2F5A26" w14:textId="77777777" w:rsidR="00BE2C22" w:rsidRDefault="00BE2C22" w:rsidP="00BE2C22">
                      <w:pPr>
                        <w:spacing w:after="0"/>
                        <w:jc w:val="both"/>
                      </w:pPr>
                      <w:r w:rsidRPr="00E448E8">
                        <w:rPr>
                          <w:b/>
                          <w:bCs/>
                        </w:rPr>
                        <w:t xml:space="preserve">Caso </w:t>
                      </w:r>
                      <w:r>
                        <w:rPr>
                          <w:b/>
                          <w:bCs/>
                        </w:rPr>
                        <w:t xml:space="preserve">confirmado </w:t>
                      </w:r>
                      <w:r w:rsidRPr="00E448E8">
                        <w:rPr>
                          <w:b/>
                          <w:bCs/>
                        </w:rPr>
                        <w:t>de dengue:</w:t>
                      </w:r>
                      <w:r>
                        <w:t xml:space="preserve"> c</w:t>
                      </w:r>
                      <w:r w:rsidRPr="00E448E8">
                        <w:t>aso probable de dengue, dengue grave, o mortalidad por dengue confirmado por alguno de los criterios de laboratorio para el diagnóstico de dengue: ELISA NS1, RT-PCR o aislamiento viral en pacientes con 5 días o menos de inicio de síntomas o prueba de IgM Dengue ELISA en pacientes con 6 o más días de inicio de síntomas.</w:t>
                      </w:r>
                    </w:p>
                    <w:p w14:paraId="12A25C71" w14:textId="77777777" w:rsidR="00BE2C22" w:rsidRDefault="00BE2C22" w:rsidP="00BE2C22">
                      <w:pPr>
                        <w:spacing w:after="0"/>
                        <w:jc w:val="both"/>
                      </w:pPr>
                    </w:p>
                    <w:p w14:paraId="79C11F9B" w14:textId="77777777" w:rsidR="00BE2C22" w:rsidRPr="00DD72B9" w:rsidRDefault="00BE2C22" w:rsidP="00BE2C22">
                      <w:pPr>
                        <w:spacing w:after="0"/>
                        <w:jc w:val="both"/>
                        <w:rPr>
                          <w:sz w:val="16"/>
                          <w:szCs w:val="16"/>
                        </w:rPr>
                      </w:pPr>
                      <w:r w:rsidRPr="00DD72B9">
                        <w:rPr>
                          <w:sz w:val="16"/>
                          <w:szCs w:val="16"/>
                          <w:vertAlign w:val="superscript"/>
                        </w:rPr>
                        <w:t>1.</w:t>
                      </w:r>
                      <w:r w:rsidRPr="00DD72B9">
                        <w:rPr>
                          <w:sz w:val="16"/>
                          <w:szCs w:val="16"/>
                        </w:rPr>
                        <w:t xml:space="preserve"> Instituto Nacional de Salud. Protocolo de vigilancia en salud pública de dengue. Versión 4. 20 de marzo de 2022. Disponible en:   https://www.ins.gov.co/buscador-eventos/Lineamientos/Pro_Dengue.pdf</w:t>
                      </w:r>
                    </w:p>
                    <w:p w14:paraId="437B2F31" w14:textId="3D059A7E" w:rsidR="00AC44E0" w:rsidRDefault="00AC44E0" w:rsidP="00D6698B">
                      <w:pPr>
                        <w:spacing w:after="0"/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A7D3B" w:rsidRPr="00940DAB">
        <w:rPr>
          <w:b/>
          <w:bCs/>
        </w:rPr>
        <w:t xml:space="preserve">Dengue </w:t>
      </w:r>
    </w:p>
    <w:p w14:paraId="67A3E17C" w14:textId="0803061D" w:rsidR="0063253B" w:rsidRPr="0085319E" w:rsidRDefault="00A01530" w:rsidP="005A506E">
      <w:pPr>
        <w:jc w:val="both"/>
        <w:rPr>
          <w:b/>
          <w:bCs/>
          <w:highlight w:val="yellow"/>
        </w:rPr>
      </w:pPr>
      <w:r w:rsidRPr="0085319E">
        <w:rPr>
          <w:noProof/>
          <w:highlight w:val="yellow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660308" wp14:editId="3AD902EB">
                <wp:simplePos x="0" y="0"/>
                <wp:positionH relativeFrom="margin">
                  <wp:align>left</wp:align>
                </wp:positionH>
                <wp:positionV relativeFrom="paragraph">
                  <wp:posOffset>544</wp:posOffset>
                </wp:positionV>
                <wp:extent cx="1828800" cy="5334000"/>
                <wp:effectExtent l="0" t="0" r="20320" b="19050"/>
                <wp:wrapSquare wrapText="bothSides"/>
                <wp:docPr id="1204112334" name="Cuadro de texto 1204112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334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716520" w14:textId="77777777" w:rsidR="00BE2C22" w:rsidRDefault="00BE2C22" w:rsidP="00BE2C22">
                            <w:pPr>
                              <w:jc w:val="both"/>
                            </w:pPr>
                            <w:r w:rsidRPr="00747AF0">
                              <w:t>Los indicador</w:t>
                            </w:r>
                            <w:r>
                              <w:t>e</w:t>
                            </w:r>
                            <w:r w:rsidRPr="00747AF0">
                              <w:t>s del evento se calcula</w:t>
                            </w:r>
                            <w:r>
                              <w:t>ron</w:t>
                            </w:r>
                            <w:r w:rsidRPr="00747AF0">
                              <w:t xml:space="preserve"> de acuerdo con lo dispuesto en el </w:t>
                            </w:r>
                            <w:r>
                              <w:t>p</w:t>
                            </w:r>
                            <w:r w:rsidRPr="00747AF0">
                              <w:t xml:space="preserve">rotocolo de </w:t>
                            </w:r>
                            <w:r>
                              <w:t>v</w:t>
                            </w:r>
                            <w:r w:rsidRPr="00747AF0">
                              <w:t xml:space="preserve">igilancia de </w:t>
                            </w:r>
                            <w:r>
                              <w:t>s</w:t>
                            </w:r>
                            <w:r w:rsidRPr="00747AF0">
                              <w:t xml:space="preserve">alud </w:t>
                            </w:r>
                            <w:r>
                              <w:t>p</w:t>
                            </w:r>
                            <w:r w:rsidRPr="00747AF0">
                              <w:t>ública</w:t>
                            </w:r>
                            <w:r>
                              <w:t>,</w:t>
                            </w:r>
                            <w:r w:rsidRPr="00747AF0">
                              <w:t xml:space="preserve"> sin embargo</w:t>
                            </w:r>
                            <w:r>
                              <w:t>,</w:t>
                            </w:r>
                            <w:r w:rsidRPr="00747AF0">
                              <w:t xml:space="preserve"> estos pueden ir cambiando de acuerdo con el ajuste de los casos. Los datos de Sivigila tienen procesos de ajuste por rezagos en la notificación.</w:t>
                            </w:r>
                          </w:p>
                          <w:p w14:paraId="5B414D3F" w14:textId="77777777" w:rsidR="00BE2C22" w:rsidRDefault="00BE2C22" w:rsidP="00BE2C22">
                            <w:pPr>
                              <w:jc w:val="both"/>
                            </w:pPr>
                            <w:r>
                              <w:t xml:space="preserve">Las categorías usadas para los indicadores de gestión son: </w:t>
                            </w:r>
                          </w:p>
                          <w:tbl>
                            <w:tblPr>
                              <w:tblW w:w="6557" w:type="dxa"/>
                              <w:jc w:val="center"/>
                              <w:tblCellMar>
                                <w:left w:w="70" w:type="dxa"/>
                                <w:right w:w="7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1413"/>
                              <w:gridCol w:w="850"/>
                              <w:gridCol w:w="993"/>
                              <w:gridCol w:w="992"/>
                              <w:gridCol w:w="992"/>
                              <w:gridCol w:w="1317"/>
                            </w:tblGrid>
                            <w:tr w:rsidR="00BE2C22" w:rsidRPr="00610691" w14:paraId="23C44B05" w14:textId="77777777" w:rsidTr="005F742D">
                              <w:trPr>
                                <w:trHeight w:val="163"/>
                                <w:jc w:val="center"/>
                              </w:trPr>
                              <w:tc>
                                <w:tcPr>
                                  <w:tcW w:w="1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33D54CE" w14:textId="77777777" w:rsidR="00BE2C22" w:rsidRPr="00610691" w:rsidRDefault="00BE2C22" w:rsidP="00BE2C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s-CO" w:eastAsia="es-CO"/>
                                    </w:rPr>
                                  </w:pPr>
                                  <w:r w:rsidRPr="00610691">
                                    <w:rPr>
                                      <w:rFonts w:ascii="Arial Narrow" w:eastAsia="Times New Roman" w:hAnsi="Arial Narrow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s-CO" w:eastAsia="es-CO"/>
                                    </w:rPr>
                                    <w:t>Porcentaje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0000"/>
                                  <w:vAlign w:val="center"/>
                                  <w:hideMark/>
                                </w:tcPr>
                                <w:p w14:paraId="12EB6AC2" w14:textId="77777777" w:rsidR="00BE2C22" w:rsidRPr="00610691" w:rsidRDefault="00BE2C22" w:rsidP="00BE2C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16"/>
                                      <w:szCs w:val="16"/>
                                      <w:lang w:val="es-CO" w:eastAsia="es-CO"/>
                                    </w:rPr>
                                  </w:pPr>
                                  <w:r w:rsidRPr="006106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16"/>
                                      <w:szCs w:val="16"/>
                                      <w:lang w:val="es-CO" w:eastAsia="es-CO"/>
                                    </w:rPr>
                                    <w:t>&lt; 25 %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C000"/>
                                  <w:vAlign w:val="center"/>
                                  <w:hideMark/>
                                </w:tcPr>
                                <w:p w14:paraId="6C6B5B22" w14:textId="77777777" w:rsidR="00BE2C22" w:rsidRPr="00610691" w:rsidRDefault="00BE2C22" w:rsidP="00BE2C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16"/>
                                      <w:szCs w:val="16"/>
                                      <w:lang w:val="es-CO" w:eastAsia="es-CO"/>
                                    </w:rPr>
                                  </w:pPr>
                                  <w:r w:rsidRPr="006106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16"/>
                                      <w:szCs w:val="16"/>
                                      <w:lang w:val="es-CO" w:eastAsia="es-CO"/>
                                    </w:rPr>
                                    <w:t>25 % - 50 %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  <w:vAlign w:val="center"/>
                                  <w:hideMark/>
                                </w:tcPr>
                                <w:p w14:paraId="6D940C34" w14:textId="77777777" w:rsidR="00BE2C22" w:rsidRPr="00610691" w:rsidRDefault="00BE2C22" w:rsidP="00BE2C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16"/>
                                      <w:szCs w:val="16"/>
                                      <w:lang w:val="es-CO" w:eastAsia="es-CO"/>
                                    </w:rPr>
                                  </w:pPr>
                                  <w:r w:rsidRPr="006106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16"/>
                                      <w:szCs w:val="16"/>
                                      <w:lang w:val="es-CO" w:eastAsia="es-CO"/>
                                    </w:rPr>
                                    <w:t>50 % - 75 %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8D08D" w:themeFill="accent6" w:themeFillTint="99"/>
                                  <w:vAlign w:val="center"/>
                                  <w:hideMark/>
                                </w:tcPr>
                                <w:p w14:paraId="63A5139C" w14:textId="77777777" w:rsidR="00BE2C22" w:rsidRPr="00610691" w:rsidRDefault="00BE2C22" w:rsidP="00BE2C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16"/>
                                      <w:szCs w:val="16"/>
                                      <w:lang w:val="es-CO" w:eastAsia="es-CO"/>
                                    </w:rPr>
                                  </w:pPr>
                                  <w:r w:rsidRPr="006106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16"/>
                                      <w:szCs w:val="16"/>
                                      <w:lang w:val="es-CO" w:eastAsia="es-CO"/>
                                    </w:rPr>
                                    <w:t>75 % - 99 %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70AD47" w:themeFill="accent6"/>
                                  <w:vAlign w:val="center"/>
                                  <w:hideMark/>
                                </w:tcPr>
                                <w:p w14:paraId="4EEE3717" w14:textId="77777777" w:rsidR="00BE2C22" w:rsidRPr="00610691" w:rsidRDefault="00BE2C22" w:rsidP="00BE2C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16"/>
                                      <w:szCs w:val="16"/>
                                      <w:lang w:val="es-CO" w:eastAsia="es-CO"/>
                                    </w:rPr>
                                  </w:pPr>
                                  <w:r w:rsidRPr="006106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16"/>
                                      <w:szCs w:val="16"/>
                                      <w:lang w:val="es-CO" w:eastAsia="es-CO"/>
                                    </w:rPr>
                                    <w:t>100%</w:t>
                                  </w:r>
                                </w:p>
                              </w:tc>
                            </w:tr>
                            <w:tr w:rsidR="00BE2C22" w:rsidRPr="00610691" w14:paraId="4D827456" w14:textId="77777777" w:rsidTr="005F742D">
                              <w:trPr>
                                <w:trHeight w:val="89"/>
                                <w:jc w:val="center"/>
                              </w:trPr>
                              <w:tc>
                                <w:tcPr>
                                  <w:tcW w:w="141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C7EB43E" w14:textId="77777777" w:rsidR="00BE2C22" w:rsidRPr="00610691" w:rsidRDefault="00BE2C22" w:rsidP="00BE2C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s-CO" w:eastAsia="es-CO"/>
                                    </w:rPr>
                                  </w:pPr>
                                  <w:proofErr w:type="gramStart"/>
                                  <w:r w:rsidRPr="00610691">
                                    <w:rPr>
                                      <w:rFonts w:ascii="Arial Narrow" w:eastAsia="Times New Roman" w:hAnsi="Arial Narrow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s-CO" w:eastAsia="es-CO"/>
                                    </w:rPr>
                                    <w:t>Categoría indicador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827" w:type="dxa"/>
                                  <w:gridSpan w:val="4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3D5758E" w14:textId="77777777" w:rsidR="00BE2C22" w:rsidRPr="00610691" w:rsidRDefault="00BE2C22" w:rsidP="00BE2C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16"/>
                                      <w:szCs w:val="16"/>
                                      <w:lang w:val="es-CO" w:eastAsia="es-CO"/>
                                    </w:rPr>
                                  </w:pPr>
                                  <w:r w:rsidRPr="006106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16"/>
                                      <w:szCs w:val="16"/>
                                      <w:lang w:val="es-CO" w:eastAsia="es-CO"/>
                                    </w:rPr>
                                    <w:t>No cumple con la meta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F0BA9EC" w14:textId="77777777" w:rsidR="00BE2C22" w:rsidRPr="00610691" w:rsidRDefault="00BE2C22" w:rsidP="00BE2C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16"/>
                                      <w:szCs w:val="16"/>
                                      <w:lang w:val="es-CO" w:eastAsia="es-CO"/>
                                    </w:rPr>
                                  </w:pPr>
                                  <w:r w:rsidRPr="00610691"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16"/>
                                      <w:szCs w:val="16"/>
                                      <w:lang w:val="es-CO" w:eastAsia="es-CO"/>
                                    </w:rPr>
                                    <w:t>Cumple con la meta</w:t>
                                  </w:r>
                                </w:p>
                              </w:tc>
                            </w:tr>
                          </w:tbl>
                          <w:p w14:paraId="20B5EA86" w14:textId="77777777" w:rsidR="00BE2C22" w:rsidRDefault="00BE2C22" w:rsidP="00BE2C22">
                            <w:pPr>
                              <w:jc w:val="both"/>
                            </w:pPr>
                          </w:p>
                          <w:p w14:paraId="7DF2E401" w14:textId="77777777" w:rsidR="00BE2C22" w:rsidRDefault="00BE2C22" w:rsidP="00BE2C22">
                            <w:pPr>
                              <w:jc w:val="both"/>
                            </w:pPr>
                            <w:r w:rsidRPr="00F5364F">
                              <w:t>El canal endémico nacional y el análisis de</w:t>
                            </w:r>
                            <w:r>
                              <w:t>l</w:t>
                            </w:r>
                            <w:r w:rsidRPr="00F5364F">
                              <w:t xml:space="preserve"> comportamiento epidemiológico por entidad territorial se </w:t>
                            </w:r>
                            <w:r>
                              <w:t xml:space="preserve">construyó </w:t>
                            </w:r>
                            <w:r w:rsidRPr="00F5364F">
                              <w:t xml:space="preserve">con la metodología de medias geométricas (Marcelo </w:t>
                            </w:r>
                            <w:proofErr w:type="spellStart"/>
                            <w:r w:rsidRPr="00F5364F">
                              <w:t>Bortman</w:t>
                            </w:r>
                            <w:proofErr w:type="spellEnd"/>
                            <w:r w:rsidRPr="00F5364F">
                              <w:t xml:space="preserve">), </w:t>
                            </w:r>
                            <w:r>
                              <w:t>con</w:t>
                            </w:r>
                            <w:r w:rsidRPr="00F5364F">
                              <w:t xml:space="preserve"> los siguientes límites de control: </w:t>
                            </w:r>
                            <w:r w:rsidRPr="00F5364F">
                              <w:rPr>
                                <w:b/>
                              </w:rPr>
                              <w:t xml:space="preserve">por debajo de lo esperado, </w:t>
                            </w:r>
                            <w:r w:rsidRPr="00F5364F">
                              <w:t>número de casos menor al límite inferior IC95</w:t>
                            </w:r>
                            <w:r>
                              <w:t> </w:t>
                            </w:r>
                            <w:r w:rsidRPr="00F5364F">
                              <w:t xml:space="preserve">%; </w:t>
                            </w:r>
                            <w:r w:rsidRPr="00F5364F">
                              <w:rPr>
                                <w:b/>
                              </w:rPr>
                              <w:t xml:space="preserve">dentro de lo esperado, </w:t>
                            </w:r>
                            <w:r w:rsidRPr="00F5364F">
                              <w:t>número de casos entre el límite inferior y la media geométrica IC95</w:t>
                            </w:r>
                            <w:r>
                              <w:t> </w:t>
                            </w:r>
                            <w:r w:rsidRPr="00F5364F">
                              <w:t xml:space="preserve">%; </w:t>
                            </w:r>
                            <w:r w:rsidRPr="00F5364F">
                              <w:rPr>
                                <w:b/>
                              </w:rPr>
                              <w:t xml:space="preserve">en alerta, </w:t>
                            </w:r>
                            <w:r w:rsidRPr="00F5364F">
                              <w:t>número de casos entre la media geométrica y el límite superior IC95</w:t>
                            </w:r>
                            <w:r>
                              <w:t> </w:t>
                            </w:r>
                            <w:r w:rsidRPr="00F5364F">
                              <w:t xml:space="preserve">%, </w:t>
                            </w:r>
                            <w:r>
                              <w:t>y</w:t>
                            </w:r>
                            <w:r w:rsidRPr="00F5364F">
                              <w:rPr>
                                <w:b/>
                              </w:rPr>
                              <w:t xml:space="preserve"> por encima de lo esperado</w:t>
                            </w:r>
                            <w:r w:rsidRPr="00F5364F">
                              <w:t>, número de casos por encima del límite superior IC95</w:t>
                            </w:r>
                            <w:r>
                              <w:t> </w:t>
                            </w:r>
                            <w:r w:rsidRPr="00F5364F">
                              <w:t>%.</w:t>
                            </w:r>
                          </w:p>
                          <w:p w14:paraId="6A21E595" w14:textId="77777777" w:rsidR="00BE2C22" w:rsidRPr="00EB5468" w:rsidRDefault="00BE2C22" w:rsidP="00BE2C22">
                            <w:pPr>
                              <w:jc w:val="both"/>
                            </w:pPr>
                            <w:r w:rsidRPr="00F5364F">
                              <w:t xml:space="preserve">En el </w:t>
                            </w:r>
                            <w:r>
                              <w:t xml:space="preserve">análisis del comportamiento de dengue por </w:t>
                            </w:r>
                            <w:r w:rsidRPr="00F5364F">
                              <w:t xml:space="preserve">canal endémico no se </w:t>
                            </w:r>
                            <w:r>
                              <w:t xml:space="preserve">tuvo en cuenta </w:t>
                            </w:r>
                            <w:r w:rsidRPr="00F5364F">
                              <w:t xml:space="preserve">la semana </w:t>
                            </w:r>
                            <w:r w:rsidRPr="008E2581">
                              <w:t>epidemiológica</w:t>
                            </w:r>
                            <w:r w:rsidRPr="00F5364F">
                              <w:t xml:space="preserve"> </w:t>
                            </w:r>
                            <w:r>
                              <w:t xml:space="preserve">actual </w:t>
                            </w:r>
                            <w:r w:rsidRPr="00F5364F">
                              <w:t xml:space="preserve">dado que, el periodo de incubación del virus de dengue es de </w:t>
                            </w:r>
                            <w:r>
                              <w:t>tres</w:t>
                            </w:r>
                            <w:r w:rsidRPr="00F5364F">
                              <w:t xml:space="preserve"> a 14 días, por lo tanto, los casos de es</w:t>
                            </w:r>
                            <w:r>
                              <w:t>t</w:t>
                            </w:r>
                            <w:r w:rsidRPr="00F5364F">
                              <w:t xml:space="preserve">a semana se reflejarán plenamente en la </w:t>
                            </w:r>
                            <w:r w:rsidRPr="00EB5468">
                              <w:t>siguiente semana.</w:t>
                            </w:r>
                          </w:p>
                          <w:p w14:paraId="317182A3" w14:textId="77777777" w:rsidR="00BE2C22" w:rsidRDefault="00BE2C22" w:rsidP="00BE2C22">
                            <w:pPr>
                              <w:jc w:val="both"/>
                            </w:pPr>
                            <w:r w:rsidRPr="00EB5468">
                              <w:t xml:space="preserve">El porcentaje de municipios </w:t>
                            </w:r>
                            <w:r w:rsidRPr="00AB7936">
                              <w:rPr>
                                <w:b/>
                              </w:rPr>
                              <w:t>por encima de lo esperado</w:t>
                            </w:r>
                            <w:r w:rsidRPr="00EB5468">
                              <w:t xml:space="preserve"> </w:t>
                            </w:r>
                            <w:r>
                              <w:t>para</w:t>
                            </w:r>
                            <w:r w:rsidRPr="00EB5468">
                              <w:t xml:space="preserve"> dengue se calculó teniendo en cuenta como denominador el número de municipios en riesgo para el evento por departamento</w:t>
                            </w:r>
                            <w:r>
                              <w:t>,</w:t>
                            </w:r>
                            <w:r w:rsidRPr="00EB5468">
                              <w:t xml:space="preserve"> según lo indicado en el </w:t>
                            </w:r>
                            <w:r w:rsidRPr="00EB5468">
                              <w:rPr>
                                <w:i/>
                                <w:iCs/>
                              </w:rPr>
                              <w:t xml:space="preserve">Lineamiento metodológico para la estratificación y estimación de la población en riesgo para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a</w:t>
                            </w:r>
                            <w:r w:rsidRPr="00EB5468">
                              <w:rPr>
                                <w:i/>
                                <w:iCs/>
                              </w:rPr>
                              <w:t>rbovirosis</w:t>
                            </w:r>
                            <w:proofErr w:type="spellEnd"/>
                            <w:r w:rsidRPr="00EB5468">
                              <w:rPr>
                                <w:i/>
                                <w:iCs/>
                              </w:rPr>
                              <w:t xml:space="preserve"> en Colombia 2020-2023</w:t>
                            </w:r>
                            <w:r w:rsidRPr="00EB5468">
                              <w:t xml:space="preserve"> del Ministerio de Salud y Protección Social</w:t>
                            </w:r>
                            <w:r>
                              <w:t>.</w:t>
                            </w:r>
                          </w:p>
                          <w:p w14:paraId="6071B082" w14:textId="77777777" w:rsidR="00A01530" w:rsidRDefault="00A01530" w:rsidP="00A01530">
                            <w:pPr>
                              <w:jc w:val="both"/>
                            </w:pPr>
                          </w:p>
                          <w:p w14:paraId="048D4D3D" w14:textId="77777777" w:rsidR="00A01530" w:rsidRPr="006C578C" w:rsidRDefault="00A01530" w:rsidP="00A01530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60308" id="Cuadro de texto 1204112334" o:spid="_x0000_s1027" type="#_x0000_t202" style="position:absolute;left:0;text-align:left;margin-left:0;margin-top:.05pt;width:2in;height:420pt;z-index:251666432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" filled="f" strokeweight=".5pt">
                <v:textbox>
                  <w:txbxContent>
                    <w:p w14:paraId="2A716520" w14:textId="77777777" w:rsidR="00BE2C22" w:rsidRDefault="00BE2C22" w:rsidP="00BE2C22">
                      <w:pPr>
                        <w:jc w:val="both"/>
                      </w:pPr>
                      <w:r w:rsidRPr="00747AF0">
                        <w:t>Los indicador</w:t>
                      </w:r>
                      <w:r>
                        <w:t>e</w:t>
                      </w:r>
                      <w:r w:rsidRPr="00747AF0">
                        <w:t>s del evento se calcula</w:t>
                      </w:r>
                      <w:r>
                        <w:t>ron</w:t>
                      </w:r>
                      <w:r w:rsidRPr="00747AF0">
                        <w:t xml:space="preserve"> de acuerdo con lo dispuesto en el </w:t>
                      </w:r>
                      <w:r>
                        <w:t>p</w:t>
                      </w:r>
                      <w:r w:rsidRPr="00747AF0">
                        <w:t xml:space="preserve">rotocolo de </w:t>
                      </w:r>
                      <w:r>
                        <w:t>v</w:t>
                      </w:r>
                      <w:r w:rsidRPr="00747AF0">
                        <w:t xml:space="preserve">igilancia de </w:t>
                      </w:r>
                      <w:r>
                        <w:t>s</w:t>
                      </w:r>
                      <w:r w:rsidRPr="00747AF0">
                        <w:t xml:space="preserve">alud </w:t>
                      </w:r>
                      <w:r>
                        <w:t>p</w:t>
                      </w:r>
                      <w:r w:rsidRPr="00747AF0">
                        <w:t>ública</w:t>
                      </w:r>
                      <w:r>
                        <w:t>,</w:t>
                      </w:r>
                      <w:r w:rsidRPr="00747AF0">
                        <w:t xml:space="preserve"> sin embargo</w:t>
                      </w:r>
                      <w:r>
                        <w:t>,</w:t>
                      </w:r>
                      <w:r w:rsidRPr="00747AF0">
                        <w:t xml:space="preserve"> estos pueden ir cambiando de acuerdo con el ajuste de los casos. Los datos de Sivigila tienen procesos de ajuste por rezagos en la notificación.</w:t>
                      </w:r>
                    </w:p>
                    <w:p w14:paraId="5B414D3F" w14:textId="77777777" w:rsidR="00BE2C22" w:rsidRDefault="00BE2C22" w:rsidP="00BE2C22">
                      <w:pPr>
                        <w:jc w:val="both"/>
                      </w:pPr>
                      <w:r>
                        <w:t xml:space="preserve">Las categorías usadas para los indicadores de gestión son: </w:t>
                      </w:r>
                    </w:p>
                    <w:tbl>
                      <w:tblPr>
                        <w:tblW w:w="6557" w:type="dxa"/>
                        <w:jc w:val="center"/>
                        <w:tblCellMar>
                          <w:left w:w="70" w:type="dxa"/>
                          <w:right w:w="7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1413"/>
                        <w:gridCol w:w="850"/>
                        <w:gridCol w:w="993"/>
                        <w:gridCol w:w="992"/>
                        <w:gridCol w:w="992"/>
                        <w:gridCol w:w="1317"/>
                      </w:tblGrid>
                      <w:tr w:rsidR="00BE2C22" w:rsidRPr="00610691" w14:paraId="23C44B05" w14:textId="77777777" w:rsidTr="005F742D">
                        <w:trPr>
                          <w:trHeight w:val="163"/>
                          <w:jc w:val="center"/>
                        </w:trPr>
                        <w:tc>
                          <w:tcPr>
                            <w:tcW w:w="1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33D54CE" w14:textId="77777777" w:rsidR="00BE2C22" w:rsidRPr="00610691" w:rsidRDefault="00BE2C22" w:rsidP="00BE2C2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s-CO" w:eastAsia="es-CO"/>
                              </w:rPr>
                            </w:pPr>
                            <w:r w:rsidRPr="00610691">
                              <w:rPr>
                                <w:rFonts w:ascii="Arial Narrow" w:eastAsia="Times New Roman" w:hAnsi="Arial Narrow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s-CO" w:eastAsia="es-CO"/>
                              </w:rPr>
                              <w:t>Porcentaje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0000"/>
                            <w:vAlign w:val="center"/>
                            <w:hideMark/>
                          </w:tcPr>
                          <w:p w14:paraId="12EB6AC2" w14:textId="77777777" w:rsidR="00BE2C22" w:rsidRPr="00610691" w:rsidRDefault="00BE2C22" w:rsidP="00BE2C2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Calibri"/>
                                <w:color w:val="000000"/>
                                <w:sz w:val="16"/>
                                <w:szCs w:val="16"/>
                                <w:lang w:val="es-CO" w:eastAsia="es-CO"/>
                              </w:rPr>
                            </w:pPr>
                            <w:r w:rsidRPr="006106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16"/>
                                <w:szCs w:val="16"/>
                                <w:lang w:val="es-CO" w:eastAsia="es-CO"/>
                              </w:rPr>
                              <w:t>&lt; 25 %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C000"/>
                            <w:vAlign w:val="center"/>
                            <w:hideMark/>
                          </w:tcPr>
                          <w:p w14:paraId="6C6B5B22" w14:textId="77777777" w:rsidR="00BE2C22" w:rsidRPr="00610691" w:rsidRDefault="00BE2C22" w:rsidP="00BE2C2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Calibri"/>
                                <w:color w:val="000000"/>
                                <w:sz w:val="16"/>
                                <w:szCs w:val="16"/>
                                <w:lang w:val="es-CO" w:eastAsia="es-CO"/>
                              </w:rPr>
                            </w:pPr>
                            <w:r w:rsidRPr="006106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16"/>
                                <w:szCs w:val="16"/>
                                <w:lang w:val="es-CO" w:eastAsia="es-CO"/>
                              </w:rPr>
                              <w:t>25 % - 50 %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  <w:vAlign w:val="center"/>
                            <w:hideMark/>
                          </w:tcPr>
                          <w:p w14:paraId="6D940C34" w14:textId="77777777" w:rsidR="00BE2C22" w:rsidRPr="00610691" w:rsidRDefault="00BE2C22" w:rsidP="00BE2C2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Calibri"/>
                                <w:color w:val="000000"/>
                                <w:sz w:val="16"/>
                                <w:szCs w:val="16"/>
                                <w:lang w:val="es-CO" w:eastAsia="es-CO"/>
                              </w:rPr>
                            </w:pPr>
                            <w:r w:rsidRPr="006106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16"/>
                                <w:szCs w:val="16"/>
                                <w:lang w:val="es-CO" w:eastAsia="es-CO"/>
                              </w:rPr>
                              <w:t>50 % - 75 %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8D08D" w:themeFill="accent6" w:themeFillTint="99"/>
                            <w:vAlign w:val="center"/>
                            <w:hideMark/>
                          </w:tcPr>
                          <w:p w14:paraId="63A5139C" w14:textId="77777777" w:rsidR="00BE2C22" w:rsidRPr="00610691" w:rsidRDefault="00BE2C22" w:rsidP="00BE2C2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Calibri"/>
                                <w:color w:val="000000"/>
                                <w:sz w:val="16"/>
                                <w:szCs w:val="16"/>
                                <w:lang w:val="es-CO" w:eastAsia="es-CO"/>
                              </w:rPr>
                            </w:pPr>
                            <w:r w:rsidRPr="006106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16"/>
                                <w:szCs w:val="16"/>
                                <w:lang w:val="es-CO" w:eastAsia="es-CO"/>
                              </w:rPr>
                              <w:t>75 % - 99 %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70AD47" w:themeFill="accent6"/>
                            <w:vAlign w:val="center"/>
                            <w:hideMark/>
                          </w:tcPr>
                          <w:p w14:paraId="4EEE3717" w14:textId="77777777" w:rsidR="00BE2C22" w:rsidRPr="00610691" w:rsidRDefault="00BE2C22" w:rsidP="00BE2C2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Calibri"/>
                                <w:color w:val="000000"/>
                                <w:sz w:val="16"/>
                                <w:szCs w:val="16"/>
                                <w:lang w:val="es-CO" w:eastAsia="es-CO"/>
                              </w:rPr>
                            </w:pPr>
                            <w:r w:rsidRPr="006106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16"/>
                                <w:szCs w:val="16"/>
                                <w:lang w:val="es-CO" w:eastAsia="es-CO"/>
                              </w:rPr>
                              <w:t>100%</w:t>
                            </w:r>
                          </w:p>
                        </w:tc>
                      </w:tr>
                      <w:tr w:rsidR="00BE2C22" w:rsidRPr="00610691" w14:paraId="4D827456" w14:textId="77777777" w:rsidTr="005F742D">
                        <w:trPr>
                          <w:trHeight w:val="89"/>
                          <w:jc w:val="center"/>
                        </w:trPr>
                        <w:tc>
                          <w:tcPr>
                            <w:tcW w:w="141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C7EB43E" w14:textId="77777777" w:rsidR="00BE2C22" w:rsidRPr="00610691" w:rsidRDefault="00BE2C22" w:rsidP="00BE2C2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s-CO" w:eastAsia="es-CO"/>
                              </w:rPr>
                            </w:pPr>
                            <w:proofErr w:type="gramStart"/>
                            <w:r w:rsidRPr="00610691">
                              <w:rPr>
                                <w:rFonts w:ascii="Arial Narrow" w:eastAsia="Times New Roman" w:hAnsi="Arial Narrow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s-CO" w:eastAsia="es-CO"/>
                              </w:rPr>
                              <w:t>Categoría indicador</w:t>
                            </w:r>
                            <w:proofErr w:type="gramEnd"/>
                          </w:p>
                        </w:tc>
                        <w:tc>
                          <w:tcPr>
                            <w:tcW w:w="3827" w:type="dxa"/>
                            <w:gridSpan w:val="4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3D5758E" w14:textId="77777777" w:rsidR="00BE2C22" w:rsidRPr="00610691" w:rsidRDefault="00BE2C22" w:rsidP="00BE2C2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Calibri"/>
                                <w:color w:val="000000"/>
                                <w:sz w:val="16"/>
                                <w:szCs w:val="16"/>
                                <w:lang w:val="es-CO" w:eastAsia="es-CO"/>
                              </w:rPr>
                            </w:pPr>
                            <w:r w:rsidRPr="006106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16"/>
                                <w:szCs w:val="16"/>
                                <w:lang w:val="es-CO" w:eastAsia="es-CO"/>
                              </w:rPr>
                              <w:t>No cumple con la meta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F0BA9EC" w14:textId="77777777" w:rsidR="00BE2C22" w:rsidRPr="00610691" w:rsidRDefault="00BE2C22" w:rsidP="00BE2C2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Calibri"/>
                                <w:color w:val="000000"/>
                                <w:sz w:val="16"/>
                                <w:szCs w:val="16"/>
                                <w:lang w:val="es-CO" w:eastAsia="es-CO"/>
                              </w:rPr>
                            </w:pPr>
                            <w:r w:rsidRPr="00610691">
                              <w:rPr>
                                <w:rFonts w:ascii="Arial Narrow" w:eastAsia="Times New Roman" w:hAnsi="Arial Narrow" w:cs="Calibri"/>
                                <w:color w:val="000000"/>
                                <w:sz w:val="16"/>
                                <w:szCs w:val="16"/>
                                <w:lang w:val="es-CO" w:eastAsia="es-CO"/>
                              </w:rPr>
                              <w:t>Cumple con la meta</w:t>
                            </w:r>
                          </w:p>
                        </w:tc>
                      </w:tr>
                    </w:tbl>
                    <w:p w14:paraId="20B5EA86" w14:textId="77777777" w:rsidR="00BE2C22" w:rsidRDefault="00BE2C22" w:rsidP="00BE2C22">
                      <w:pPr>
                        <w:jc w:val="both"/>
                      </w:pPr>
                    </w:p>
                    <w:p w14:paraId="7DF2E401" w14:textId="77777777" w:rsidR="00BE2C22" w:rsidRDefault="00BE2C22" w:rsidP="00BE2C22">
                      <w:pPr>
                        <w:jc w:val="both"/>
                      </w:pPr>
                      <w:r w:rsidRPr="00F5364F">
                        <w:t>El canal endémico nacional y el análisis de</w:t>
                      </w:r>
                      <w:r>
                        <w:t>l</w:t>
                      </w:r>
                      <w:r w:rsidRPr="00F5364F">
                        <w:t xml:space="preserve"> comportamiento epidemiológico por entidad territorial se </w:t>
                      </w:r>
                      <w:r>
                        <w:t xml:space="preserve">construyó </w:t>
                      </w:r>
                      <w:r w:rsidRPr="00F5364F">
                        <w:t xml:space="preserve">con la metodología de medias geométricas (Marcelo </w:t>
                      </w:r>
                      <w:proofErr w:type="spellStart"/>
                      <w:r w:rsidRPr="00F5364F">
                        <w:t>Bortman</w:t>
                      </w:r>
                      <w:proofErr w:type="spellEnd"/>
                      <w:r w:rsidRPr="00F5364F">
                        <w:t xml:space="preserve">), </w:t>
                      </w:r>
                      <w:r>
                        <w:t>con</w:t>
                      </w:r>
                      <w:r w:rsidRPr="00F5364F">
                        <w:t xml:space="preserve"> los siguientes límites de control: </w:t>
                      </w:r>
                      <w:r w:rsidRPr="00F5364F">
                        <w:rPr>
                          <w:b/>
                        </w:rPr>
                        <w:t xml:space="preserve">por debajo de lo esperado, </w:t>
                      </w:r>
                      <w:r w:rsidRPr="00F5364F">
                        <w:t>número de casos menor al límite inferior IC95</w:t>
                      </w:r>
                      <w:r>
                        <w:t> </w:t>
                      </w:r>
                      <w:r w:rsidRPr="00F5364F">
                        <w:t xml:space="preserve">%; </w:t>
                      </w:r>
                      <w:r w:rsidRPr="00F5364F">
                        <w:rPr>
                          <w:b/>
                        </w:rPr>
                        <w:t xml:space="preserve">dentro de lo esperado, </w:t>
                      </w:r>
                      <w:r w:rsidRPr="00F5364F">
                        <w:t>número de casos entre el límite inferior y la media geométrica IC95</w:t>
                      </w:r>
                      <w:r>
                        <w:t> </w:t>
                      </w:r>
                      <w:r w:rsidRPr="00F5364F">
                        <w:t xml:space="preserve">%; </w:t>
                      </w:r>
                      <w:r w:rsidRPr="00F5364F">
                        <w:rPr>
                          <w:b/>
                        </w:rPr>
                        <w:t xml:space="preserve">en alerta, </w:t>
                      </w:r>
                      <w:r w:rsidRPr="00F5364F">
                        <w:t>número de casos entre la media geométrica y el límite superior IC95</w:t>
                      </w:r>
                      <w:r>
                        <w:t> </w:t>
                      </w:r>
                      <w:r w:rsidRPr="00F5364F">
                        <w:t xml:space="preserve">%, </w:t>
                      </w:r>
                      <w:r>
                        <w:t>y</w:t>
                      </w:r>
                      <w:r w:rsidRPr="00F5364F">
                        <w:rPr>
                          <w:b/>
                        </w:rPr>
                        <w:t xml:space="preserve"> por encima de lo esperado</w:t>
                      </w:r>
                      <w:r w:rsidRPr="00F5364F">
                        <w:t>, número de casos por encima del límite superior IC95</w:t>
                      </w:r>
                      <w:r>
                        <w:t> </w:t>
                      </w:r>
                      <w:r w:rsidRPr="00F5364F">
                        <w:t>%.</w:t>
                      </w:r>
                    </w:p>
                    <w:p w14:paraId="6A21E595" w14:textId="77777777" w:rsidR="00BE2C22" w:rsidRPr="00EB5468" w:rsidRDefault="00BE2C22" w:rsidP="00BE2C22">
                      <w:pPr>
                        <w:jc w:val="both"/>
                      </w:pPr>
                      <w:r w:rsidRPr="00F5364F">
                        <w:t xml:space="preserve">En el </w:t>
                      </w:r>
                      <w:r>
                        <w:t xml:space="preserve">análisis del comportamiento de dengue por </w:t>
                      </w:r>
                      <w:r w:rsidRPr="00F5364F">
                        <w:t xml:space="preserve">canal endémico no se </w:t>
                      </w:r>
                      <w:r>
                        <w:t xml:space="preserve">tuvo en cuenta </w:t>
                      </w:r>
                      <w:r w:rsidRPr="00F5364F">
                        <w:t xml:space="preserve">la semana </w:t>
                      </w:r>
                      <w:r w:rsidRPr="008E2581">
                        <w:t>epidemiológica</w:t>
                      </w:r>
                      <w:r w:rsidRPr="00F5364F">
                        <w:t xml:space="preserve"> </w:t>
                      </w:r>
                      <w:r>
                        <w:t xml:space="preserve">actual </w:t>
                      </w:r>
                      <w:r w:rsidRPr="00F5364F">
                        <w:t xml:space="preserve">dado que, el periodo de incubación del virus de dengue es de </w:t>
                      </w:r>
                      <w:r>
                        <w:t>tres</w:t>
                      </w:r>
                      <w:r w:rsidRPr="00F5364F">
                        <w:t xml:space="preserve"> a 14 días, por lo tanto, los casos de es</w:t>
                      </w:r>
                      <w:r>
                        <w:t>t</w:t>
                      </w:r>
                      <w:r w:rsidRPr="00F5364F">
                        <w:t xml:space="preserve">a semana se reflejarán plenamente en la </w:t>
                      </w:r>
                      <w:r w:rsidRPr="00EB5468">
                        <w:t>siguiente semana.</w:t>
                      </w:r>
                    </w:p>
                    <w:p w14:paraId="317182A3" w14:textId="77777777" w:rsidR="00BE2C22" w:rsidRDefault="00BE2C22" w:rsidP="00BE2C22">
                      <w:pPr>
                        <w:jc w:val="both"/>
                      </w:pPr>
                      <w:r w:rsidRPr="00EB5468">
                        <w:t xml:space="preserve">El porcentaje de municipios </w:t>
                      </w:r>
                      <w:r w:rsidRPr="00AB7936">
                        <w:rPr>
                          <w:b/>
                        </w:rPr>
                        <w:t>por encima de lo esperado</w:t>
                      </w:r>
                      <w:r w:rsidRPr="00EB5468">
                        <w:t xml:space="preserve"> </w:t>
                      </w:r>
                      <w:r>
                        <w:t>para</w:t>
                      </w:r>
                      <w:r w:rsidRPr="00EB5468">
                        <w:t xml:space="preserve"> dengue se calculó teniendo en cuenta como denominador el número de municipios en riesgo para el evento por departamento</w:t>
                      </w:r>
                      <w:r>
                        <w:t>,</w:t>
                      </w:r>
                      <w:r w:rsidRPr="00EB5468">
                        <w:t xml:space="preserve"> según lo indicado en el </w:t>
                      </w:r>
                      <w:r w:rsidRPr="00EB5468">
                        <w:rPr>
                          <w:i/>
                          <w:iCs/>
                        </w:rPr>
                        <w:t xml:space="preserve">Lineamiento metodológico para la estratificación y estimación de la población en riesgo para 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a</w:t>
                      </w:r>
                      <w:r w:rsidRPr="00EB5468">
                        <w:rPr>
                          <w:i/>
                          <w:iCs/>
                        </w:rPr>
                        <w:t>rbovirosis</w:t>
                      </w:r>
                      <w:proofErr w:type="spellEnd"/>
                      <w:r w:rsidRPr="00EB5468">
                        <w:rPr>
                          <w:i/>
                          <w:iCs/>
                        </w:rPr>
                        <w:t xml:space="preserve"> en Colombia 2020-2023</w:t>
                      </w:r>
                      <w:r w:rsidRPr="00EB5468">
                        <w:t xml:space="preserve"> del Ministerio de Salud y Protección Social</w:t>
                      </w:r>
                      <w:r>
                        <w:t>.</w:t>
                      </w:r>
                    </w:p>
                    <w:p w14:paraId="6071B082" w14:textId="77777777" w:rsidR="00A01530" w:rsidRDefault="00A01530" w:rsidP="00A01530">
                      <w:pPr>
                        <w:jc w:val="both"/>
                      </w:pPr>
                    </w:p>
                    <w:p w14:paraId="048D4D3D" w14:textId="77777777" w:rsidR="00A01530" w:rsidRPr="006C578C" w:rsidRDefault="00A01530" w:rsidP="00A01530">
                      <w:pPr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DDD5E18" w14:textId="67F774DE" w:rsidR="00F028AC" w:rsidRPr="00B83A5D" w:rsidRDefault="00F028AC" w:rsidP="00F028AC">
      <w:pPr>
        <w:jc w:val="both"/>
      </w:pPr>
      <w:r w:rsidRPr="00FB7227">
        <w:t xml:space="preserve">En la semana epidemiológica </w:t>
      </w:r>
      <w:r w:rsidR="001B5DB8" w:rsidRPr="00FB7227">
        <w:t>2</w:t>
      </w:r>
      <w:r w:rsidR="0085319E" w:rsidRPr="00FB7227">
        <w:t>5</w:t>
      </w:r>
      <w:r w:rsidRPr="00FB7227">
        <w:t xml:space="preserve"> de 2023 se notificaron </w:t>
      </w:r>
      <w:r w:rsidR="00C31DE8" w:rsidRPr="00FB7227">
        <w:t>2 </w:t>
      </w:r>
      <w:r w:rsidR="00FB7227" w:rsidRPr="00FB7227">
        <w:t>760</w:t>
      </w:r>
      <w:r w:rsidR="00C31DE8" w:rsidRPr="00FB7227">
        <w:t xml:space="preserve"> </w:t>
      </w:r>
      <w:r w:rsidRPr="00FB7227">
        <w:t xml:space="preserve">casos probables de dengue: </w:t>
      </w:r>
      <w:r w:rsidR="0043654E" w:rsidRPr="00FB7227">
        <w:t>1 </w:t>
      </w:r>
      <w:r w:rsidR="00FB7227" w:rsidRPr="00FB7227">
        <w:t>686</w:t>
      </w:r>
      <w:r w:rsidRPr="00FB7227">
        <w:t xml:space="preserve"> casos de esta semana y </w:t>
      </w:r>
      <w:r w:rsidR="00FB7227" w:rsidRPr="00FB7227">
        <w:t>1 074</w:t>
      </w:r>
      <w:r w:rsidRPr="00FB7227">
        <w:t xml:space="preserve"> </w:t>
      </w:r>
      <w:r w:rsidRPr="00F334B1">
        <w:t xml:space="preserve">casos de semanas anteriores. Según el acumulado, se registran </w:t>
      </w:r>
      <w:r w:rsidR="00F334B1" w:rsidRPr="00F334B1">
        <w:t>50 818</w:t>
      </w:r>
      <w:r w:rsidR="00A97DDA" w:rsidRPr="00F334B1">
        <w:t xml:space="preserve"> </w:t>
      </w:r>
      <w:r w:rsidRPr="00F334B1">
        <w:t xml:space="preserve">casos, </w:t>
      </w:r>
      <w:r w:rsidR="00F334B1" w:rsidRPr="00F334B1">
        <w:t>28 741</w:t>
      </w:r>
      <w:r w:rsidRPr="00F334B1">
        <w:t xml:space="preserve"> (5</w:t>
      </w:r>
      <w:r w:rsidR="00D550AF" w:rsidRPr="00F334B1">
        <w:t>6</w:t>
      </w:r>
      <w:r w:rsidRPr="00F334B1">
        <w:t>,</w:t>
      </w:r>
      <w:r w:rsidR="00F334B1" w:rsidRPr="00F334B1">
        <w:t>6</w:t>
      </w:r>
      <w:r w:rsidRPr="00F334B1">
        <w:t xml:space="preserve"> %) sin signos de alarma, </w:t>
      </w:r>
      <w:r w:rsidR="00F334B1" w:rsidRPr="00F334B1">
        <w:t>21 394</w:t>
      </w:r>
      <w:r w:rsidRPr="00F334B1">
        <w:t> (4</w:t>
      </w:r>
      <w:r w:rsidR="00F334B1" w:rsidRPr="00F334B1">
        <w:t>2</w:t>
      </w:r>
      <w:r w:rsidRPr="00F334B1">
        <w:t>,</w:t>
      </w:r>
      <w:r w:rsidR="00F334B1" w:rsidRPr="00F334B1">
        <w:t>1</w:t>
      </w:r>
      <w:r w:rsidRPr="00F334B1">
        <w:t xml:space="preserve"> %) con </w:t>
      </w:r>
      <w:r w:rsidRPr="00B83A5D">
        <w:t xml:space="preserve">signos de alarma y </w:t>
      </w:r>
      <w:r w:rsidR="001A632F" w:rsidRPr="00B83A5D">
        <w:t>6</w:t>
      </w:r>
      <w:r w:rsidR="00F334B1" w:rsidRPr="00B83A5D">
        <w:t>83</w:t>
      </w:r>
      <w:r w:rsidR="002B61E5" w:rsidRPr="00B83A5D">
        <w:t xml:space="preserve"> </w:t>
      </w:r>
      <w:r w:rsidRPr="00B83A5D">
        <w:t>(1,3 %) de dengue grave.</w:t>
      </w:r>
    </w:p>
    <w:p w14:paraId="106F981D" w14:textId="62940161" w:rsidR="00F028AC" w:rsidRPr="00335DB3" w:rsidRDefault="00F028AC" w:rsidP="00F028AC">
      <w:pPr>
        <w:jc w:val="both"/>
      </w:pPr>
      <w:r w:rsidRPr="00B83A5D">
        <w:t xml:space="preserve">El </w:t>
      </w:r>
      <w:r w:rsidR="0003296D" w:rsidRPr="00B83A5D">
        <w:t>70,</w:t>
      </w:r>
      <w:r w:rsidR="00E44595" w:rsidRPr="00B83A5D">
        <w:t>9</w:t>
      </w:r>
      <w:r w:rsidRPr="00B83A5D">
        <w:t> % (</w:t>
      </w:r>
      <w:r w:rsidR="009C3CC3" w:rsidRPr="00B83A5D">
        <w:t>36 043</w:t>
      </w:r>
      <w:r w:rsidRPr="00B83A5D">
        <w:t xml:space="preserve">) de </w:t>
      </w:r>
      <w:r w:rsidRPr="00335DB3">
        <w:t xml:space="preserve">los casos a nivel nacional proceden de Meta, Tolima, </w:t>
      </w:r>
      <w:r w:rsidR="000E2B43" w:rsidRPr="00335DB3">
        <w:t xml:space="preserve">Santander, </w:t>
      </w:r>
      <w:r w:rsidR="00B83A5D" w:rsidRPr="00335DB3">
        <w:t xml:space="preserve">Cali, </w:t>
      </w:r>
      <w:r w:rsidRPr="00335DB3">
        <w:t xml:space="preserve">Cundinamarca, Sucre, </w:t>
      </w:r>
      <w:r w:rsidR="00762F8E" w:rsidRPr="00335DB3">
        <w:t xml:space="preserve">Cesar, </w:t>
      </w:r>
      <w:r w:rsidR="0003296D" w:rsidRPr="00335DB3">
        <w:t xml:space="preserve">Barranquilla, </w:t>
      </w:r>
      <w:r w:rsidR="00FE0072" w:rsidRPr="00335DB3">
        <w:t>Antioquia</w:t>
      </w:r>
      <w:r w:rsidRPr="00335DB3">
        <w:t xml:space="preserve">, </w:t>
      </w:r>
      <w:r w:rsidR="00075A8F" w:rsidRPr="00335DB3">
        <w:t>Bolívar</w:t>
      </w:r>
      <w:r w:rsidR="00FE0072" w:rsidRPr="00335DB3">
        <w:t xml:space="preserve">, </w:t>
      </w:r>
      <w:r w:rsidR="00B83A5D" w:rsidRPr="00335DB3">
        <w:t xml:space="preserve">Cartagena, </w:t>
      </w:r>
      <w:r w:rsidR="00FE0072" w:rsidRPr="00335DB3">
        <w:t>Córdoba</w:t>
      </w:r>
      <w:r w:rsidR="00075A8F" w:rsidRPr="00335DB3">
        <w:t xml:space="preserve"> y </w:t>
      </w:r>
      <w:r w:rsidR="00FE0072" w:rsidRPr="00335DB3">
        <w:t>Norte de Santander</w:t>
      </w:r>
      <w:r w:rsidR="007E0363" w:rsidRPr="00335DB3">
        <w:t xml:space="preserve"> </w:t>
      </w:r>
      <w:r w:rsidRPr="00335DB3">
        <w:t xml:space="preserve">(tabla 1). </w:t>
      </w:r>
    </w:p>
    <w:p w14:paraId="0E3B1A6F" w14:textId="61AF26A2" w:rsidR="00967B3A" w:rsidRPr="00335DB3" w:rsidRDefault="00967B3A" w:rsidP="00BA56AE">
      <w:pPr>
        <w:pStyle w:val="Ttuloayudavisual"/>
      </w:pPr>
      <w:r w:rsidRPr="00335DB3">
        <w:t xml:space="preserve">Tabla 1. Casos notificados de dengue por entidad territorial de procedencia y clasificación en Colombia, </w:t>
      </w:r>
      <w:r w:rsidR="00311436" w:rsidRPr="00335DB3">
        <w:t>semana</w:t>
      </w:r>
      <w:r w:rsidR="00717AA0" w:rsidRPr="00335DB3">
        <w:t>s</w:t>
      </w:r>
      <w:r w:rsidR="00311436" w:rsidRPr="00335DB3">
        <w:t xml:space="preserve"> epidemiológica</w:t>
      </w:r>
      <w:r w:rsidR="00717AA0" w:rsidRPr="00335DB3">
        <w:t>s</w:t>
      </w:r>
      <w:r w:rsidR="00311436" w:rsidRPr="00335DB3">
        <w:t xml:space="preserve"> </w:t>
      </w:r>
      <w:r w:rsidR="0007642F" w:rsidRPr="00335DB3">
        <w:t>01</w:t>
      </w:r>
      <w:r w:rsidR="00717AA0" w:rsidRPr="00335DB3">
        <w:t xml:space="preserve"> a </w:t>
      </w:r>
      <w:r w:rsidR="007D28DA" w:rsidRPr="00335DB3">
        <w:t>2</w:t>
      </w:r>
      <w:r w:rsidR="00335DB3" w:rsidRPr="00335DB3">
        <w:t>5</w:t>
      </w:r>
      <w:r w:rsidR="00F77695" w:rsidRPr="00335DB3">
        <w:t xml:space="preserve"> </w:t>
      </w:r>
      <w:r w:rsidR="00311436" w:rsidRPr="00335DB3">
        <w:t>de 202</w:t>
      </w:r>
      <w:r w:rsidR="00C10316" w:rsidRPr="00335DB3">
        <w:t>3</w:t>
      </w:r>
    </w:p>
    <w:p w14:paraId="4565634D" w14:textId="77777777" w:rsidR="005A5A63" w:rsidRPr="0085319E" w:rsidRDefault="005A5A63" w:rsidP="00BA56AE">
      <w:pPr>
        <w:pStyle w:val="Ttuloayudavisual"/>
        <w:rPr>
          <w:highlight w:val="yellow"/>
        </w:rPr>
      </w:pPr>
    </w:p>
    <w:tbl>
      <w:tblPr>
        <w:tblW w:w="88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5"/>
        <w:gridCol w:w="1403"/>
        <w:gridCol w:w="1709"/>
        <w:gridCol w:w="1733"/>
        <w:gridCol w:w="1665"/>
      </w:tblGrid>
      <w:tr w:rsidR="00923F10" w:rsidRPr="0085319E" w14:paraId="63622A07" w14:textId="77777777" w:rsidTr="00923F10">
        <w:trPr>
          <w:trHeight w:val="271"/>
          <w:jc w:val="center"/>
        </w:trPr>
        <w:tc>
          <w:tcPr>
            <w:tcW w:w="229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F7A19A2" w14:textId="6526E099" w:rsidR="005A5A63" w:rsidRPr="00940DAB" w:rsidRDefault="005A5A63" w:rsidP="005A5A6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940DAB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Entidad territorial</w:t>
            </w:r>
          </w:p>
        </w:tc>
        <w:tc>
          <w:tcPr>
            <w:tcW w:w="140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A362A9A" w14:textId="235965F8" w:rsidR="005A5A63" w:rsidRPr="00940DAB" w:rsidRDefault="001A6378" w:rsidP="005A5A6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940DAB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s-ES" w:eastAsia="es-CO"/>
              </w:rPr>
              <w:t>Casos</w:t>
            </w:r>
          </w:p>
        </w:tc>
        <w:tc>
          <w:tcPr>
            <w:tcW w:w="51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0D2C1E" w14:textId="1F259477" w:rsidR="005A5A63" w:rsidRPr="00940DAB" w:rsidRDefault="005A5A63" w:rsidP="005A5A6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940DAB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Porcentaje de casos</w:t>
            </w:r>
            <w:r w:rsidR="00467741" w:rsidRPr="00940DAB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de dengue</w:t>
            </w:r>
            <w:r w:rsidRPr="00940DAB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según clasificación</w:t>
            </w:r>
            <w:r w:rsidR="00923F10" w:rsidRPr="00940DAB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(%)</w:t>
            </w:r>
          </w:p>
        </w:tc>
      </w:tr>
      <w:tr w:rsidR="001A6378" w:rsidRPr="0085319E" w14:paraId="5B46E688" w14:textId="77777777" w:rsidTr="00DF615C">
        <w:trPr>
          <w:trHeight w:val="417"/>
          <w:jc w:val="center"/>
        </w:trPr>
        <w:tc>
          <w:tcPr>
            <w:tcW w:w="229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7F3320C" w14:textId="77777777" w:rsidR="005A5A63" w:rsidRPr="00940DAB" w:rsidRDefault="005A5A63" w:rsidP="005A5A6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40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7D3D897" w14:textId="77777777" w:rsidR="005A5A63" w:rsidRPr="00940DAB" w:rsidRDefault="005A5A63" w:rsidP="005A5A6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528F7B6" w14:textId="07487AF5" w:rsidR="005A5A63" w:rsidRPr="00940DAB" w:rsidRDefault="00467741" w:rsidP="005A5A6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940DAB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s-ES" w:eastAsia="es-CO"/>
              </w:rPr>
              <w:t>S</w:t>
            </w:r>
            <w:r w:rsidR="005A5A63" w:rsidRPr="00940DAB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s-ES" w:eastAsia="es-CO"/>
              </w:rPr>
              <w:t>in signos de alarma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FB3FFAC" w14:textId="601F0644" w:rsidR="005A5A63" w:rsidRPr="00940DAB" w:rsidRDefault="00467741" w:rsidP="005A5A6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940DAB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s-ES" w:eastAsia="es-CO"/>
              </w:rPr>
              <w:t>C</w:t>
            </w:r>
            <w:r w:rsidR="005A5A63" w:rsidRPr="00940DAB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s-ES" w:eastAsia="es-CO"/>
              </w:rPr>
              <w:t>on signos de alarma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7643B61" w14:textId="28D7B7D0" w:rsidR="005A5A63" w:rsidRPr="00940DAB" w:rsidRDefault="005F3261" w:rsidP="005A5A6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940DAB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s-ES" w:eastAsia="es-CO"/>
              </w:rPr>
              <w:t>G</w:t>
            </w:r>
            <w:r w:rsidR="005A5A63" w:rsidRPr="00940DAB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s-ES" w:eastAsia="es-CO"/>
              </w:rPr>
              <w:t>rave</w:t>
            </w:r>
          </w:p>
        </w:tc>
      </w:tr>
      <w:tr w:rsidR="006E5FDD" w:rsidRPr="0085319E" w14:paraId="75F2B65D" w14:textId="77777777" w:rsidTr="00D4615F">
        <w:trPr>
          <w:trHeight w:val="258"/>
          <w:jc w:val="center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6D7A2" w14:textId="5FB8A668" w:rsidR="006E5FDD" w:rsidRPr="0085319E" w:rsidRDefault="006E5FDD" w:rsidP="006E5FD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Meta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8B2EBB" w14:textId="06973398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9437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8C7D59" w14:textId="1628B3F8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61,3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188C3" w14:textId="61660F81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38,0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D87AFA" w14:textId="419074AA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0,7</w:t>
            </w:r>
          </w:p>
        </w:tc>
      </w:tr>
      <w:tr w:rsidR="006E5FDD" w:rsidRPr="0085319E" w14:paraId="0F8C1080" w14:textId="77777777" w:rsidTr="00D4615F">
        <w:trPr>
          <w:trHeight w:val="258"/>
          <w:jc w:val="center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AFD33" w14:textId="53B90288" w:rsidR="006E5FDD" w:rsidRPr="0085319E" w:rsidRDefault="006E5FDD" w:rsidP="006E5FD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lastRenderedPageBreak/>
              <w:t>Tolima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091A1" w14:textId="34DE0C9D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5020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F89F4" w14:textId="40044FA3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57,9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9C45E2" w14:textId="632EF8E0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40,5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1CCD7" w14:textId="78337F6B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1,6</w:t>
            </w:r>
          </w:p>
        </w:tc>
      </w:tr>
      <w:tr w:rsidR="006E5FDD" w:rsidRPr="0085319E" w14:paraId="59B72840" w14:textId="77777777" w:rsidTr="00D4615F">
        <w:trPr>
          <w:trHeight w:val="258"/>
          <w:jc w:val="center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1C16A" w14:textId="683DDC94" w:rsidR="006E5FDD" w:rsidRPr="0085319E" w:rsidRDefault="006E5FDD" w:rsidP="006E5FD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Santander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5BADA" w14:textId="54CDD17C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2905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1E11A4" w14:textId="18C83A26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51,6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78F40" w14:textId="38FCE024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47,0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F7FD0" w14:textId="34584169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1,4</w:t>
            </w:r>
          </w:p>
        </w:tc>
      </w:tr>
      <w:tr w:rsidR="006E5FDD" w:rsidRPr="0085319E" w14:paraId="5AE329FE" w14:textId="77777777" w:rsidTr="00D4615F">
        <w:trPr>
          <w:trHeight w:val="258"/>
          <w:jc w:val="center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00959" w14:textId="6E9F7165" w:rsidR="006E5FDD" w:rsidRPr="0085319E" w:rsidRDefault="006E5FDD" w:rsidP="006E5FD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Cali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37CF7" w14:textId="00278BEE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2331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DDD35" w14:textId="2BFA1A5E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59,8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C0D0C" w14:textId="033CBCAF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38,9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D7A8B" w14:textId="65CF5E78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1,2</w:t>
            </w:r>
          </w:p>
        </w:tc>
      </w:tr>
      <w:tr w:rsidR="006E5FDD" w:rsidRPr="0085319E" w14:paraId="4A69896E" w14:textId="77777777" w:rsidTr="00D4615F">
        <w:trPr>
          <w:trHeight w:val="258"/>
          <w:jc w:val="center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EED15" w14:textId="3334025A" w:rsidR="006E5FDD" w:rsidRPr="0085319E" w:rsidRDefault="006E5FDD" w:rsidP="006E5FD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Cundinamarca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A297A" w14:textId="709E6DC8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2309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607E8" w14:textId="0BB96D3F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51,7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A4046" w14:textId="2B702939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47,6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093FA" w14:textId="1B851A88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0,7</w:t>
            </w:r>
          </w:p>
        </w:tc>
      </w:tr>
      <w:tr w:rsidR="006E5FDD" w:rsidRPr="0085319E" w14:paraId="47292873" w14:textId="77777777" w:rsidTr="00D4615F">
        <w:trPr>
          <w:trHeight w:val="258"/>
          <w:jc w:val="center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A0FDC" w14:textId="251ABB0F" w:rsidR="006E5FDD" w:rsidRPr="0085319E" w:rsidRDefault="006E5FDD" w:rsidP="006E5FD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Sucre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F4F06" w14:textId="0ECC0247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2005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78CCB" w14:textId="21714945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33,1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812C01" w14:textId="3B072B55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65,4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1D731" w14:textId="752F2702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1,5</w:t>
            </w:r>
          </w:p>
        </w:tc>
      </w:tr>
      <w:tr w:rsidR="006E5FDD" w:rsidRPr="0085319E" w14:paraId="762E39A8" w14:textId="77777777" w:rsidTr="00D4615F">
        <w:trPr>
          <w:trHeight w:val="258"/>
          <w:jc w:val="center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19FB8" w14:textId="5206E3D4" w:rsidR="006E5FDD" w:rsidRPr="0085319E" w:rsidRDefault="006E5FDD" w:rsidP="006E5FD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Cesar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90474" w14:textId="7285F35C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1964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0C88DF" w14:textId="07BEF91A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37,0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B855E" w14:textId="43202ACA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59,5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81D06" w14:textId="2BD89FA5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3,5</w:t>
            </w:r>
          </w:p>
        </w:tc>
      </w:tr>
      <w:tr w:rsidR="006E5FDD" w:rsidRPr="0085319E" w14:paraId="34483197" w14:textId="77777777" w:rsidTr="00D4615F">
        <w:trPr>
          <w:trHeight w:val="258"/>
          <w:jc w:val="center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6D0FF" w14:textId="04DF0211" w:rsidR="006E5FDD" w:rsidRPr="0085319E" w:rsidRDefault="006E5FDD" w:rsidP="006E5FD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Barranquilla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CC74B" w14:textId="2AB5D528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1764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63701" w14:textId="6E7909A6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58,8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8E206" w14:textId="6320E864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39,8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3F704" w14:textId="50652E86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1,4</w:t>
            </w:r>
          </w:p>
        </w:tc>
      </w:tr>
      <w:tr w:rsidR="006E5FDD" w:rsidRPr="0085319E" w14:paraId="6507644F" w14:textId="77777777" w:rsidTr="00D4615F">
        <w:trPr>
          <w:trHeight w:val="258"/>
          <w:jc w:val="center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33F3A" w14:textId="7C654FE0" w:rsidR="006E5FDD" w:rsidRPr="0085319E" w:rsidRDefault="006E5FDD" w:rsidP="006E5FD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Antioquia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D77F4" w14:textId="491ED9CB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1757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F83FC" w14:textId="7C55E05C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54,7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74B29" w14:textId="12719D16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43,4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B6466" w14:textId="50024876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1,9</w:t>
            </w:r>
          </w:p>
        </w:tc>
      </w:tr>
      <w:tr w:rsidR="006E5FDD" w:rsidRPr="0085319E" w14:paraId="1F068E75" w14:textId="77777777" w:rsidTr="00D4615F">
        <w:trPr>
          <w:trHeight w:val="258"/>
          <w:jc w:val="center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020EF" w14:textId="386A2A05" w:rsidR="006E5FDD" w:rsidRPr="0085319E" w:rsidRDefault="006E5FDD" w:rsidP="006E5FD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Bolívar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C62CB" w14:textId="738BE2D6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1740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6C3CA" w14:textId="4682C325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51,0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1DF24" w14:textId="108E7A83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47,3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A6236" w14:textId="77EBEDE3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1,7</w:t>
            </w:r>
          </w:p>
        </w:tc>
      </w:tr>
      <w:tr w:rsidR="006E5FDD" w:rsidRPr="0085319E" w14:paraId="6FCF9CB8" w14:textId="77777777" w:rsidTr="00D4615F">
        <w:trPr>
          <w:trHeight w:val="258"/>
          <w:jc w:val="center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3D400" w14:textId="200E8F2D" w:rsidR="006E5FDD" w:rsidRPr="0085319E" w:rsidRDefault="006E5FDD" w:rsidP="006E5FD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Cartagena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8F85E" w14:textId="7353BE2C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1706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CE4FE" w14:textId="77C07789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72,1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9E2FA" w14:textId="54D339B0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26,7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570A8" w14:textId="609B8E1F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1,2</w:t>
            </w:r>
          </w:p>
        </w:tc>
      </w:tr>
      <w:tr w:rsidR="006E5FDD" w:rsidRPr="0085319E" w14:paraId="4CE5D55B" w14:textId="77777777" w:rsidTr="00D4615F">
        <w:trPr>
          <w:trHeight w:val="258"/>
          <w:jc w:val="center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C27D2" w14:textId="3088923A" w:rsidR="006E5FDD" w:rsidRPr="0085319E" w:rsidRDefault="006E5FDD" w:rsidP="006E5FD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Córdoba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506932" w14:textId="7EB7C084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1584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E08F0F" w14:textId="392D40BE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56,8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DD21DF" w14:textId="24E53F56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42,4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91F63" w14:textId="786A3750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0,8</w:t>
            </w:r>
          </w:p>
        </w:tc>
      </w:tr>
      <w:tr w:rsidR="006E5FDD" w:rsidRPr="0085319E" w14:paraId="5DBA21A9" w14:textId="77777777" w:rsidTr="00D4615F">
        <w:trPr>
          <w:trHeight w:val="258"/>
          <w:jc w:val="center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36ED56" w14:textId="28A7AFCB" w:rsidR="006E5FDD" w:rsidRPr="0085319E" w:rsidRDefault="006E5FDD" w:rsidP="006E5FD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Norte de Santander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3BB795" w14:textId="2BB6098A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1521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EC9F0" w14:textId="5E2D1BEE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55,6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95CADD" w14:textId="13982361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43,0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44F7D" w14:textId="4F764E34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1,4</w:t>
            </w:r>
          </w:p>
        </w:tc>
      </w:tr>
      <w:tr w:rsidR="006E5FDD" w:rsidRPr="0085319E" w14:paraId="1C398707" w14:textId="77777777" w:rsidTr="00D4615F">
        <w:trPr>
          <w:trHeight w:val="258"/>
          <w:jc w:val="center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A3386" w14:textId="726507FA" w:rsidR="006E5FDD" w:rsidRPr="0085319E" w:rsidRDefault="006E5FDD" w:rsidP="006E5FD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Huila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7816F" w14:textId="1AE0AE0D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1482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D4C6E" w14:textId="689BC5B0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60,7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E9C7EA" w14:textId="6DBAEB1E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35,4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73F71" w14:textId="062B35C0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3,9</w:t>
            </w:r>
          </w:p>
        </w:tc>
      </w:tr>
      <w:tr w:rsidR="006E5FDD" w:rsidRPr="0085319E" w14:paraId="3AB3A577" w14:textId="77777777" w:rsidTr="00D4615F">
        <w:trPr>
          <w:trHeight w:val="258"/>
          <w:jc w:val="center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DDB20" w14:textId="6963BDAA" w:rsidR="006E5FDD" w:rsidRPr="0085319E" w:rsidRDefault="006E5FDD" w:rsidP="006E5FD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La Guajira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C54AF" w14:textId="0F8790BF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1417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9934A" w14:textId="51EBEC28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27,3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4764A" w14:textId="4F6ABE78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71,0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6AF130" w14:textId="75209631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1,7</w:t>
            </w:r>
          </w:p>
        </w:tc>
      </w:tr>
      <w:tr w:rsidR="006E5FDD" w:rsidRPr="0085319E" w14:paraId="6AA3F545" w14:textId="77777777" w:rsidTr="00D4615F">
        <w:trPr>
          <w:trHeight w:val="258"/>
          <w:jc w:val="center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F96C8" w14:textId="621D40D7" w:rsidR="006E5FDD" w:rsidRPr="0085319E" w:rsidRDefault="006E5FDD" w:rsidP="006E5FD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Caquetá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8343F" w14:textId="0F725E61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1404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E93A90" w14:textId="30A29E1A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54,5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892CF" w14:textId="0C73B7DA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44,4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4E9A3" w14:textId="73B6B6B9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1,1</w:t>
            </w:r>
          </w:p>
        </w:tc>
      </w:tr>
      <w:tr w:rsidR="006E5FDD" w:rsidRPr="0085319E" w14:paraId="32F1B851" w14:textId="77777777" w:rsidTr="00D4615F">
        <w:trPr>
          <w:trHeight w:val="258"/>
          <w:jc w:val="center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53700" w14:textId="0CD4AD08" w:rsidR="006E5FDD" w:rsidRPr="0085319E" w:rsidRDefault="006E5FDD" w:rsidP="006E5FD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Atlántico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BDA28" w14:textId="2C7EDC0E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1365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D2499" w14:textId="6126F793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50,8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1C2FF" w14:textId="799662A2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47,3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27A11" w14:textId="17F03188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1,8</w:t>
            </w:r>
          </w:p>
        </w:tc>
      </w:tr>
      <w:tr w:rsidR="006E5FDD" w:rsidRPr="0085319E" w14:paraId="44A49188" w14:textId="77777777" w:rsidTr="00D4615F">
        <w:trPr>
          <w:trHeight w:val="258"/>
          <w:jc w:val="center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8C29B" w14:textId="11DF5F62" w:rsidR="006E5FDD" w:rsidRPr="0085319E" w:rsidRDefault="006E5FDD" w:rsidP="006E5FD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Valle del Cauca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EA393" w14:textId="58DD0C0E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1111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63491" w14:textId="14B51799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59,7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B634F" w14:textId="5F63CDDC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39,7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DB63A" w14:textId="5055EED2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0,6</w:t>
            </w:r>
          </w:p>
        </w:tc>
      </w:tr>
      <w:tr w:rsidR="006E5FDD" w:rsidRPr="0085319E" w14:paraId="067D40C7" w14:textId="77777777" w:rsidTr="00D4615F">
        <w:trPr>
          <w:trHeight w:val="258"/>
          <w:jc w:val="center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FECAA" w14:textId="27C42649" w:rsidR="006E5FDD" w:rsidRPr="0085319E" w:rsidRDefault="006E5FDD" w:rsidP="006E5FD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Putumayo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722ED" w14:textId="5D7776D8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1016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3D0F6" w14:textId="5057FF84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72,7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5458BD" w14:textId="1CF7FDE4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26,7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D2FBC" w14:textId="0BFB7A30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0,6</w:t>
            </w:r>
          </w:p>
        </w:tc>
      </w:tr>
      <w:tr w:rsidR="006E5FDD" w:rsidRPr="0085319E" w14:paraId="3B86FE72" w14:textId="77777777" w:rsidTr="00D4615F">
        <w:trPr>
          <w:trHeight w:val="258"/>
          <w:jc w:val="center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2AC0FA" w14:textId="7B790FAE" w:rsidR="006E5FDD" w:rsidRPr="0085319E" w:rsidRDefault="006E5FDD" w:rsidP="006E5FD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Casanare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9F085" w14:textId="4515C6B9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983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CCCC8C" w14:textId="0C909C41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58,3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FF378" w14:textId="4E20B118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39,5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BC2FEA" w14:textId="692370D8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2,2</w:t>
            </w:r>
          </w:p>
        </w:tc>
      </w:tr>
      <w:tr w:rsidR="006E5FDD" w:rsidRPr="0085319E" w14:paraId="50A8038B" w14:textId="77777777" w:rsidTr="00D4615F">
        <w:trPr>
          <w:trHeight w:val="258"/>
          <w:jc w:val="center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C3E78" w14:textId="7BF93B16" w:rsidR="006E5FDD" w:rsidRPr="0085319E" w:rsidRDefault="006E5FDD" w:rsidP="006E5FD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Amazonas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556061" w14:textId="35F990C2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915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5F3A75" w14:textId="4295217C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63,7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296CF" w14:textId="212AC093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36,2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06A3B" w14:textId="7DF45F24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0,1</w:t>
            </w:r>
          </w:p>
        </w:tc>
      </w:tr>
      <w:tr w:rsidR="006E5FDD" w:rsidRPr="0085319E" w14:paraId="54C57F26" w14:textId="77777777" w:rsidTr="00D4615F">
        <w:trPr>
          <w:trHeight w:val="258"/>
          <w:jc w:val="center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CC87B" w14:textId="5B5E76F2" w:rsidR="006E5FDD" w:rsidRPr="0085319E" w:rsidRDefault="006E5FDD" w:rsidP="006E5FD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Arauca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40BF3" w14:textId="4A16929B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704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B2705" w14:textId="14A2D540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81,7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4B812" w14:textId="15FBFFE5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17,9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76486F" w14:textId="04DCFDB4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0,4</w:t>
            </w:r>
          </w:p>
        </w:tc>
      </w:tr>
      <w:tr w:rsidR="006E5FDD" w:rsidRPr="0085319E" w14:paraId="3E6A1B81" w14:textId="77777777" w:rsidTr="00D4615F">
        <w:trPr>
          <w:trHeight w:val="258"/>
          <w:jc w:val="center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BB0D2" w14:textId="15EFC865" w:rsidR="006E5FDD" w:rsidRPr="0085319E" w:rsidRDefault="006E5FDD" w:rsidP="006E5FD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Nariño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B2953" w14:textId="0ED73E2D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662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D4877" w14:textId="24583BE1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72,2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1EBFB" w14:textId="14ED9083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26,4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69B20" w14:textId="053983BB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1,4</w:t>
            </w:r>
          </w:p>
        </w:tc>
      </w:tr>
      <w:tr w:rsidR="006E5FDD" w:rsidRPr="0085319E" w14:paraId="48E32786" w14:textId="77777777" w:rsidTr="00D4615F">
        <w:trPr>
          <w:trHeight w:val="258"/>
          <w:jc w:val="center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ADFE9B" w14:textId="4FCCAE5F" w:rsidR="006E5FDD" w:rsidRPr="0085319E" w:rsidRDefault="006E5FDD" w:rsidP="006E5FD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Guaviare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D3283" w14:textId="0DDEBBB3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661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799E4" w14:textId="31830E30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79,6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7928D" w14:textId="7DDBB6DC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19,7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DF315" w14:textId="1C63B32C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0,8</w:t>
            </w:r>
          </w:p>
        </w:tc>
      </w:tr>
      <w:tr w:rsidR="006E5FDD" w:rsidRPr="0085319E" w14:paraId="1F246A2D" w14:textId="77777777" w:rsidTr="00D4615F">
        <w:trPr>
          <w:trHeight w:val="258"/>
          <w:jc w:val="center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010AD" w14:textId="40554EAE" w:rsidR="006E5FDD" w:rsidRPr="0085319E" w:rsidRDefault="006E5FDD" w:rsidP="006E5FD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Cauca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CA43F" w14:textId="6BA4016A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613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5F834" w14:textId="133B9752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70,8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FAB46" w14:textId="68DB276F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28,5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1A61BD" w14:textId="12E1D053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0,7</w:t>
            </w:r>
          </w:p>
        </w:tc>
      </w:tr>
      <w:tr w:rsidR="006E5FDD" w:rsidRPr="0085319E" w14:paraId="6F541722" w14:textId="77777777" w:rsidTr="00D4615F">
        <w:trPr>
          <w:trHeight w:val="258"/>
          <w:jc w:val="center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A0402" w14:textId="672A069C" w:rsidR="006E5FDD" w:rsidRPr="0085319E" w:rsidRDefault="006E5FDD" w:rsidP="006E5FD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Chocó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489B64" w14:textId="5943B066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569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E1CEC" w14:textId="0054EF32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74,7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288284" w14:textId="3870DE6D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23,7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3FAAA" w14:textId="0E41D1DE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1,6</w:t>
            </w:r>
          </w:p>
        </w:tc>
      </w:tr>
      <w:tr w:rsidR="006E5FDD" w:rsidRPr="0085319E" w14:paraId="1A12DD9E" w14:textId="77777777" w:rsidTr="00D4615F">
        <w:trPr>
          <w:trHeight w:val="258"/>
          <w:jc w:val="center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86938" w14:textId="03B76383" w:rsidR="006E5FDD" w:rsidRPr="0085319E" w:rsidRDefault="006E5FDD" w:rsidP="006E5FD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Magdalena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9322E" w14:textId="6C3B53F8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6E853" w14:textId="209CB70D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CB9B49" w14:textId="753F7B88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68,1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0FEFD" w14:textId="18770EB5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1,2</w:t>
            </w:r>
          </w:p>
        </w:tc>
      </w:tr>
      <w:tr w:rsidR="006E5FDD" w:rsidRPr="0085319E" w14:paraId="119CE106" w14:textId="77777777" w:rsidTr="00D4615F">
        <w:trPr>
          <w:trHeight w:val="258"/>
          <w:jc w:val="center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CCC898" w14:textId="6DBAF918" w:rsidR="006E5FDD" w:rsidRPr="0085319E" w:rsidRDefault="006E5FDD" w:rsidP="006E5FD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Boyacá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85306" w14:textId="60194084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5E4EC" w14:textId="287FFD94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61,4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C001B" w14:textId="375F19C8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37,5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5D0BDC" w14:textId="2BE85A13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1,1</w:t>
            </w:r>
          </w:p>
        </w:tc>
      </w:tr>
      <w:tr w:rsidR="006E5FDD" w:rsidRPr="0085319E" w14:paraId="69EE26B2" w14:textId="77777777" w:rsidTr="00D4615F">
        <w:trPr>
          <w:trHeight w:val="258"/>
          <w:jc w:val="center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715E73" w14:textId="6E93F9E8" w:rsidR="006E5FDD" w:rsidRPr="0085319E" w:rsidRDefault="006E5FDD" w:rsidP="006E5FD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Santa Marta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12F40" w14:textId="6AA93AF6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EA369" w14:textId="55714039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30,5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FC20A" w14:textId="10FB9FC2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67,9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4041A" w14:textId="6988B38D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1,6</w:t>
            </w:r>
          </w:p>
        </w:tc>
      </w:tr>
      <w:tr w:rsidR="006E5FDD" w:rsidRPr="0085319E" w14:paraId="1C5C90B5" w14:textId="77777777" w:rsidTr="00D4615F">
        <w:trPr>
          <w:trHeight w:val="258"/>
          <w:jc w:val="center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F5EEA" w14:textId="579DAC0D" w:rsidR="006E5FDD" w:rsidRPr="0085319E" w:rsidRDefault="006E5FDD" w:rsidP="006E5FD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Quindío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9388F" w14:textId="2B4FEE6E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BA20A" w14:textId="64A197E3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64,8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4162C" w14:textId="69C6A77D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34,2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38D32" w14:textId="75816274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1,0</w:t>
            </w:r>
          </w:p>
        </w:tc>
      </w:tr>
      <w:tr w:rsidR="006E5FDD" w:rsidRPr="0085319E" w14:paraId="5BE000B9" w14:textId="77777777" w:rsidTr="00D4615F">
        <w:trPr>
          <w:trHeight w:val="258"/>
          <w:jc w:val="center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8258E" w14:textId="5B6C2710" w:rsidR="006E5FDD" w:rsidRPr="0085319E" w:rsidRDefault="006E5FDD" w:rsidP="006E5FD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Vaupés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57C18" w14:textId="6E0CCB56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697CF" w14:textId="176A2076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82,3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ABA0A" w14:textId="1499F086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16,0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9FE34E" w14:textId="3548F8C2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1,7</w:t>
            </w:r>
          </w:p>
        </w:tc>
      </w:tr>
      <w:tr w:rsidR="006E5FDD" w:rsidRPr="0085319E" w14:paraId="3B8C34B7" w14:textId="77777777" w:rsidTr="00D4615F">
        <w:trPr>
          <w:trHeight w:val="258"/>
          <w:jc w:val="center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8ADCC" w14:textId="6E42FA2B" w:rsidR="006E5FDD" w:rsidRPr="0085319E" w:rsidRDefault="006E5FDD" w:rsidP="006E5FD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Buenaventura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036DE" w14:textId="5A623E7E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58844" w14:textId="6BF15A3B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63,8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9533A" w14:textId="447D34B8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35,5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A8639" w14:textId="7BC3AD68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0,7</w:t>
            </w:r>
          </w:p>
        </w:tc>
      </w:tr>
      <w:tr w:rsidR="006E5FDD" w:rsidRPr="0085319E" w14:paraId="05D2507B" w14:textId="77777777" w:rsidTr="00D4615F">
        <w:trPr>
          <w:trHeight w:val="258"/>
          <w:jc w:val="center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F1BA3" w14:textId="66260CB6" w:rsidR="006E5FDD" w:rsidRPr="0085319E" w:rsidRDefault="006E5FDD" w:rsidP="006E5FD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Exterior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3F6D0" w14:textId="30C32202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03EB1" w14:textId="16761389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42,1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1B777" w14:textId="63BD18FE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56,1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803AF" w14:textId="600E4697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1,9</w:t>
            </w:r>
          </w:p>
        </w:tc>
      </w:tr>
      <w:tr w:rsidR="006E5FDD" w:rsidRPr="0085319E" w14:paraId="0D0D7E60" w14:textId="77777777" w:rsidTr="00D4615F">
        <w:trPr>
          <w:trHeight w:val="258"/>
          <w:jc w:val="center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6348E" w14:textId="6C45CC99" w:rsidR="006E5FDD" w:rsidRPr="0085319E" w:rsidRDefault="006E5FDD" w:rsidP="006E5FD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Vichada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B1C6E" w14:textId="08932F6E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E70B8" w14:textId="420E1C2D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70,7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704A2" w14:textId="04EF9DB5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29,3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980C2" w14:textId="4E999632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0,0</w:t>
            </w:r>
          </w:p>
        </w:tc>
      </w:tr>
      <w:tr w:rsidR="006E5FDD" w:rsidRPr="0085319E" w14:paraId="0AC25162" w14:textId="77777777" w:rsidTr="00D4615F">
        <w:trPr>
          <w:trHeight w:val="258"/>
          <w:jc w:val="center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B5F1EE" w14:textId="7CA76115" w:rsidR="006E5FDD" w:rsidRPr="0085319E" w:rsidRDefault="006E5FDD" w:rsidP="006E5FD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Guainía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F151F" w14:textId="242EF28B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A220D" w14:textId="155C90AB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52,1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E913C1" w14:textId="34F74F67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45,1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7B472" w14:textId="3FA59056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2,8</w:t>
            </w:r>
          </w:p>
        </w:tc>
      </w:tr>
      <w:tr w:rsidR="006E5FDD" w:rsidRPr="0085319E" w14:paraId="243035BC" w14:textId="77777777" w:rsidTr="00D4615F">
        <w:trPr>
          <w:trHeight w:val="258"/>
          <w:jc w:val="center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8D984" w14:textId="686F9FB0" w:rsidR="006E5FDD" w:rsidRPr="0085319E" w:rsidRDefault="006E5FDD" w:rsidP="006E5FD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Risaralda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D90A4" w14:textId="58569CE1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2CECD" w14:textId="18F36395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59,7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64658B" w14:textId="503C5947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40,3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83B86" w14:textId="6607235B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0,0</w:t>
            </w:r>
          </w:p>
        </w:tc>
      </w:tr>
      <w:tr w:rsidR="006E5FDD" w:rsidRPr="0085319E" w14:paraId="4696A838" w14:textId="77777777" w:rsidTr="00D4615F">
        <w:trPr>
          <w:trHeight w:val="258"/>
          <w:jc w:val="center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A2DA8" w14:textId="603A69A1" w:rsidR="006E5FDD" w:rsidRPr="0085319E" w:rsidRDefault="006E5FDD" w:rsidP="006E5FD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Caldas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6875C" w14:textId="7BF3E96E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39B87" w14:textId="11703D51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40,3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F27258" w14:textId="3458B022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59,7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96DD1" w14:textId="7DC9A6F6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0,0</w:t>
            </w:r>
          </w:p>
        </w:tc>
      </w:tr>
      <w:tr w:rsidR="006E5FDD" w:rsidRPr="0085319E" w14:paraId="4C634447" w14:textId="77777777" w:rsidTr="00D4615F">
        <w:trPr>
          <w:trHeight w:val="271"/>
          <w:jc w:val="center"/>
        </w:trPr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C03627" w14:textId="5F4B793B" w:rsidR="006E5FDD" w:rsidRPr="0085319E" w:rsidRDefault="006E5FDD" w:rsidP="006E5FD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Archipiélago de San Andrés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EA266D" w14:textId="7E901DAC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D0D62C" w14:textId="208A2C30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52,9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B54720" w14:textId="4A8A680A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47,1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767B41" w14:textId="5D2FF9F0" w:rsidR="006E5FDD" w:rsidRPr="0085319E" w:rsidRDefault="006E5FDD" w:rsidP="006E5F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highlight w:val="yellow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0,0</w:t>
            </w:r>
          </w:p>
        </w:tc>
      </w:tr>
      <w:tr w:rsidR="00F028AC" w:rsidRPr="00477B0D" w14:paraId="51F3CEFC" w14:textId="77777777" w:rsidTr="00DF615C">
        <w:trPr>
          <w:trHeight w:val="60"/>
          <w:jc w:val="center"/>
        </w:trPr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3F4591" w14:textId="0233CFAC" w:rsidR="00F028AC" w:rsidRPr="00477B0D" w:rsidRDefault="00F028AC" w:rsidP="00F028A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477B0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Total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5C831F" w14:textId="0FE7C3AE" w:rsidR="00F028AC" w:rsidRPr="00477B0D" w:rsidRDefault="00477B0D" w:rsidP="00F028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477B0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50 818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1F25FD" w14:textId="519857B1" w:rsidR="00F028AC" w:rsidRPr="00477B0D" w:rsidRDefault="00F028AC" w:rsidP="00F028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477B0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5</w:t>
            </w:r>
            <w:r w:rsidR="00052744" w:rsidRPr="00477B0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6,</w:t>
            </w:r>
            <w:r w:rsidR="00477B0D" w:rsidRPr="00477B0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0119C7" w14:textId="1640CE16" w:rsidR="00F028AC" w:rsidRPr="00477B0D" w:rsidRDefault="00004CC4" w:rsidP="00F028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477B0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4</w:t>
            </w:r>
            <w:r w:rsidR="00477B0D" w:rsidRPr="00477B0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2,1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46A9FB" w14:textId="51953BB7" w:rsidR="00F028AC" w:rsidRPr="00477B0D" w:rsidRDefault="00F028AC" w:rsidP="00F028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477B0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1,</w:t>
            </w:r>
            <w:r w:rsidR="00477B0D" w:rsidRPr="00477B0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3</w:t>
            </w:r>
          </w:p>
        </w:tc>
      </w:tr>
    </w:tbl>
    <w:p w14:paraId="7A61F980" w14:textId="160F8C31" w:rsidR="00967B3A" w:rsidRPr="00477B0D" w:rsidRDefault="00967B3A" w:rsidP="00524266">
      <w:pPr>
        <w:pStyle w:val="Piedeayudavisual"/>
      </w:pPr>
      <w:bookmarkStart w:id="0" w:name="_Hlk30774462"/>
      <w:r w:rsidRPr="00477B0D">
        <w:rPr>
          <w:bCs/>
        </w:rPr>
        <w:t xml:space="preserve">Fuente: </w:t>
      </w:r>
      <w:r w:rsidRPr="00477B0D">
        <w:t>Sivigila, Instituto Nacional de Salud, Colombia, 202</w:t>
      </w:r>
      <w:r w:rsidR="00910D08" w:rsidRPr="00477B0D">
        <w:t>3</w:t>
      </w:r>
    </w:p>
    <w:bookmarkEnd w:id="0"/>
    <w:p w14:paraId="3FFD47CF" w14:textId="3901C460" w:rsidR="00BE6535" w:rsidRPr="0085319E" w:rsidRDefault="00E83708" w:rsidP="000F4A83">
      <w:pPr>
        <w:jc w:val="both"/>
        <w:rPr>
          <w:highlight w:val="yellow"/>
        </w:rPr>
      </w:pPr>
      <w:r w:rsidRPr="006A5CD3">
        <w:t xml:space="preserve">En el último periodo analizado (semanas epidemiológicas </w:t>
      </w:r>
      <w:r w:rsidR="00102DDB" w:rsidRPr="006A5CD3">
        <w:t>2</w:t>
      </w:r>
      <w:r w:rsidR="00B44425">
        <w:t>1</w:t>
      </w:r>
      <w:r w:rsidRPr="006A5CD3">
        <w:t xml:space="preserve"> a </w:t>
      </w:r>
      <w:r w:rsidR="005B6F48" w:rsidRPr="006A5CD3">
        <w:t>2</w:t>
      </w:r>
      <w:r w:rsidR="00B44425">
        <w:t>4</w:t>
      </w:r>
      <w:r w:rsidRPr="006A5CD3">
        <w:t>) con respecto al periodo anterior (semanas epidemiológicas 1</w:t>
      </w:r>
      <w:r w:rsidR="007D6B7C">
        <w:t>7</w:t>
      </w:r>
      <w:r w:rsidRPr="006A5CD3">
        <w:t xml:space="preserve"> a </w:t>
      </w:r>
      <w:r w:rsidR="007D6B7C">
        <w:t>20</w:t>
      </w:r>
      <w:r w:rsidRPr="006A5CD3">
        <w:t xml:space="preserve">), se observó </w:t>
      </w:r>
      <w:r w:rsidRPr="00B44425">
        <w:t>una tendencia al aumento</w:t>
      </w:r>
      <w:r w:rsidR="0009146E" w:rsidRPr="00B44425">
        <w:t xml:space="preserve"> superior al </w:t>
      </w:r>
      <w:r w:rsidR="00936A2B" w:rsidRPr="00B44425">
        <w:t>3</w:t>
      </w:r>
      <w:r w:rsidR="0009146E" w:rsidRPr="00B44425">
        <w:t>0,0 %</w:t>
      </w:r>
      <w:r w:rsidRPr="00B44425">
        <w:t xml:space="preserve"> en Bolívar, Cali, Casanare, Cesar, </w:t>
      </w:r>
      <w:r w:rsidR="00911623" w:rsidRPr="00B44425">
        <w:t>Guaviare,</w:t>
      </w:r>
      <w:r w:rsidR="003A5EB6" w:rsidRPr="00B44425">
        <w:t xml:space="preserve"> </w:t>
      </w:r>
      <w:r w:rsidR="00A84156" w:rsidRPr="00B44425">
        <w:t xml:space="preserve">Magdalena, </w:t>
      </w:r>
      <w:r w:rsidR="007C0727" w:rsidRPr="00B44425">
        <w:t xml:space="preserve">Nariño, </w:t>
      </w:r>
      <w:r w:rsidR="009B5CF6" w:rsidRPr="00B44425">
        <w:t>Sucre y V</w:t>
      </w:r>
      <w:r w:rsidR="003A5EB6" w:rsidRPr="00B44425">
        <w:t>alle del Cauca</w:t>
      </w:r>
      <w:r w:rsidR="001A7034" w:rsidRPr="00B44425">
        <w:t>;</w:t>
      </w:r>
      <w:r w:rsidRPr="00B44425">
        <w:t xml:space="preserve"> y una tendencia al </w:t>
      </w:r>
      <w:r w:rsidRPr="0020764C">
        <w:t xml:space="preserve">descenso </w:t>
      </w:r>
      <w:r w:rsidR="005D732D" w:rsidRPr="0020764C">
        <w:t xml:space="preserve">superior al 30,0 % </w:t>
      </w:r>
      <w:r w:rsidRPr="0020764C">
        <w:t xml:space="preserve">en </w:t>
      </w:r>
      <w:r w:rsidR="00133480" w:rsidRPr="0020764C">
        <w:t>Amazonas</w:t>
      </w:r>
      <w:r w:rsidR="005D732D" w:rsidRPr="0020764C">
        <w:t xml:space="preserve"> </w:t>
      </w:r>
      <w:r w:rsidR="00A16E33" w:rsidRPr="0020764C">
        <w:t xml:space="preserve">y </w:t>
      </w:r>
      <w:r w:rsidR="007D6B7C" w:rsidRPr="0020764C">
        <w:t>Vaupés</w:t>
      </w:r>
      <w:r w:rsidRPr="0020764C">
        <w:t xml:space="preserve">. </w:t>
      </w:r>
      <w:r w:rsidR="00D6698B" w:rsidRPr="0020764C">
        <w:t>Asimismo, en el país se observ</w:t>
      </w:r>
      <w:r w:rsidR="00BE2C22" w:rsidRPr="0020764C">
        <w:t>ó</w:t>
      </w:r>
      <w:r w:rsidR="00D6698B" w:rsidRPr="0020764C">
        <w:t xml:space="preserve"> </w:t>
      </w:r>
      <w:r w:rsidR="00D6698B" w:rsidRPr="00F418F2">
        <w:t xml:space="preserve">en el último periodo analizado una tendencia de aumento de </w:t>
      </w:r>
      <w:r w:rsidR="00510FB7" w:rsidRPr="00F418F2">
        <w:t>10,1</w:t>
      </w:r>
      <w:r w:rsidR="00D6698B" w:rsidRPr="00F418F2">
        <w:t> % con respecto al periodo anterior. Por otro lado</w:t>
      </w:r>
      <w:r w:rsidR="000F4A83" w:rsidRPr="00F418F2">
        <w:t>,</w:t>
      </w:r>
      <w:r w:rsidR="00BE6535" w:rsidRPr="00F418F2">
        <w:t xml:space="preserve"> </w:t>
      </w:r>
      <w:r w:rsidRPr="00F418F2">
        <w:t>las entidades que presentaron un porcentaje superior al 60,0 % de dengue con signos de ala</w:t>
      </w:r>
      <w:r w:rsidR="00BE2C22" w:rsidRPr="00F418F2">
        <w:t>r</w:t>
      </w:r>
      <w:r w:rsidRPr="00F418F2">
        <w:t xml:space="preserve">ma y dengue grave en el último periodo analizado (semanas epidemiológicas </w:t>
      </w:r>
      <w:r w:rsidR="003027B8" w:rsidRPr="00F418F2">
        <w:t>21</w:t>
      </w:r>
      <w:r w:rsidRPr="00F418F2">
        <w:t xml:space="preserve"> a </w:t>
      </w:r>
      <w:r w:rsidR="00E32937" w:rsidRPr="00F418F2">
        <w:t>2</w:t>
      </w:r>
      <w:r w:rsidR="003027B8" w:rsidRPr="00F418F2">
        <w:t>4</w:t>
      </w:r>
      <w:r w:rsidRPr="00F418F2">
        <w:t xml:space="preserve">) son: </w:t>
      </w:r>
      <w:r w:rsidR="00F259BB" w:rsidRPr="00F418F2">
        <w:t xml:space="preserve">Cesar, </w:t>
      </w:r>
      <w:r w:rsidR="00F418F2" w:rsidRPr="00F418F2">
        <w:t xml:space="preserve">Guainía, </w:t>
      </w:r>
      <w:r w:rsidRPr="00F418F2">
        <w:t>La Guajira, Magdalena</w:t>
      </w:r>
      <w:r w:rsidR="00E32937" w:rsidRPr="00F418F2">
        <w:t xml:space="preserve">, </w:t>
      </w:r>
      <w:r w:rsidRPr="00F418F2">
        <w:t>Santa Mart</w:t>
      </w:r>
      <w:r w:rsidR="00111928" w:rsidRPr="00F418F2">
        <w:t>a</w:t>
      </w:r>
      <w:r w:rsidR="00F418F2" w:rsidRPr="00F418F2">
        <w:t xml:space="preserve"> y Sucre</w:t>
      </w:r>
      <w:r w:rsidR="00E32937" w:rsidRPr="00F418F2">
        <w:t>.</w:t>
      </w:r>
    </w:p>
    <w:p w14:paraId="5778F336" w14:textId="7C572846" w:rsidR="00040704" w:rsidRPr="0085319E" w:rsidRDefault="00CA280D" w:rsidP="00117A75">
      <w:pPr>
        <w:tabs>
          <w:tab w:val="center" w:pos="4419"/>
        </w:tabs>
        <w:jc w:val="both"/>
        <w:rPr>
          <w:highlight w:val="yellow"/>
        </w:rPr>
      </w:pPr>
      <w:r w:rsidRPr="00F418F2">
        <w:rPr>
          <w:lang w:val="es-CO"/>
        </w:rPr>
        <w:lastRenderedPageBreak/>
        <w:t>A semana epidemiológica</w:t>
      </w:r>
      <w:r w:rsidRPr="00F418F2">
        <w:t xml:space="preserve"> </w:t>
      </w:r>
      <w:r w:rsidR="0099468D" w:rsidRPr="00F418F2">
        <w:t>2</w:t>
      </w:r>
      <w:r w:rsidR="00F418F2" w:rsidRPr="00F418F2">
        <w:t>5</w:t>
      </w:r>
      <w:r w:rsidR="00040704" w:rsidRPr="00F418F2">
        <w:t xml:space="preserve"> </w:t>
      </w:r>
      <w:r w:rsidR="000272EC" w:rsidRPr="00F418F2">
        <w:t>de 2023</w:t>
      </w:r>
      <w:r w:rsidR="00B96EAE" w:rsidRPr="00F418F2">
        <w:t xml:space="preserve">, </w:t>
      </w:r>
      <w:r w:rsidR="00B96EAE" w:rsidRPr="00823ED6">
        <w:t>a nivel nacional</w:t>
      </w:r>
      <w:r w:rsidR="00A75DB7" w:rsidRPr="00823ED6">
        <w:t xml:space="preserve"> </w:t>
      </w:r>
      <w:r w:rsidR="005B7E39" w:rsidRPr="00823ED6">
        <w:t xml:space="preserve">se </w:t>
      </w:r>
      <w:r w:rsidR="000345BE" w:rsidRPr="00823ED6">
        <w:t>confirmó</w:t>
      </w:r>
      <w:r w:rsidR="005B7E39" w:rsidRPr="00823ED6">
        <w:t xml:space="preserve"> </w:t>
      </w:r>
      <w:r w:rsidR="00117A75" w:rsidRPr="00823ED6">
        <w:t xml:space="preserve">el </w:t>
      </w:r>
      <w:r w:rsidR="00BE6B23" w:rsidRPr="00823ED6">
        <w:t>6</w:t>
      </w:r>
      <w:r w:rsidR="00407235" w:rsidRPr="00823ED6">
        <w:t>6</w:t>
      </w:r>
      <w:r w:rsidR="00BE6B23" w:rsidRPr="00823ED6">
        <w:t>,</w:t>
      </w:r>
      <w:r w:rsidR="00407235" w:rsidRPr="00823ED6">
        <w:t>3</w:t>
      </w:r>
      <w:r w:rsidR="00117A75" w:rsidRPr="00823ED6">
        <w:t> % (</w:t>
      </w:r>
      <w:r w:rsidR="00823ED6" w:rsidRPr="00823ED6">
        <w:t>14 174</w:t>
      </w:r>
      <w:r w:rsidR="00117A75" w:rsidRPr="00823ED6">
        <w:t xml:space="preserve">) de los casos de dengue con signos de alarma y </w:t>
      </w:r>
      <w:r w:rsidR="00CE6003" w:rsidRPr="00823ED6">
        <w:t>8</w:t>
      </w:r>
      <w:r w:rsidR="00407235" w:rsidRPr="00823ED6">
        <w:t>1</w:t>
      </w:r>
      <w:r w:rsidR="00CE6003" w:rsidRPr="00823ED6">
        <w:t>,</w:t>
      </w:r>
      <w:r w:rsidR="00407235" w:rsidRPr="00823ED6">
        <w:t>6</w:t>
      </w:r>
      <w:r w:rsidR="00117A75" w:rsidRPr="00823ED6">
        <w:t> % (</w:t>
      </w:r>
      <w:r w:rsidR="00CE6003" w:rsidRPr="00823ED6">
        <w:t>5</w:t>
      </w:r>
      <w:r w:rsidR="00823ED6" w:rsidRPr="00823ED6">
        <w:t>57</w:t>
      </w:r>
      <w:r w:rsidR="00117A75" w:rsidRPr="00823ED6">
        <w:t>) de los casos de dengue grave</w:t>
      </w:r>
      <w:r w:rsidR="00116698" w:rsidRPr="00823ED6">
        <w:t>. S</w:t>
      </w:r>
      <w:r w:rsidR="00B96EAE" w:rsidRPr="00823ED6">
        <w:t xml:space="preserve">e hospitalizó al </w:t>
      </w:r>
      <w:r w:rsidR="007864D7" w:rsidRPr="00823ED6">
        <w:t>83,</w:t>
      </w:r>
      <w:r w:rsidR="00087A84" w:rsidRPr="00823ED6">
        <w:t>1</w:t>
      </w:r>
      <w:r w:rsidR="00B96EAE" w:rsidRPr="00823ED6">
        <w:t> % (</w:t>
      </w:r>
      <w:r w:rsidR="00D66690" w:rsidRPr="00823ED6">
        <w:t>1</w:t>
      </w:r>
      <w:r w:rsidR="00A56E36" w:rsidRPr="00823ED6">
        <w:t>7</w:t>
      </w:r>
      <w:r w:rsidR="007864D7" w:rsidRPr="00823ED6">
        <w:t> </w:t>
      </w:r>
      <w:r w:rsidR="00A56E36" w:rsidRPr="00823ED6">
        <w:t>771</w:t>
      </w:r>
      <w:r w:rsidR="00B96EAE" w:rsidRPr="00823ED6">
        <w:t xml:space="preserve">) de los casos de dengue con signos de alarma y el </w:t>
      </w:r>
      <w:r w:rsidR="00A64543" w:rsidRPr="00823ED6">
        <w:t>97</w:t>
      </w:r>
      <w:r w:rsidR="004B708D" w:rsidRPr="00823ED6">
        <w:t>,</w:t>
      </w:r>
      <w:r w:rsidR="00087A84" w:rsidRPr="00823ED6">
        <w:t>7</w:t>
      </w:r>
      <w:r w:rsidR="00BE2C22" w:rsidRPr="00823ED6">
        <w:t> </w:t>
      </w:r>
      <w:r w:rsidR="00B96EAE" w:rsidRPr="00823ED6">
        <w:t>% (</w:t>
      </w:r>
      <w:r w:rsidR="00BF4009" w:rsidRPr="00823ED6">
        <w:t>6</w:t>
      </w:r>
      <w:r w:rsidR="00087A84" w:rsidRPr="00823ED6">
        <w:t>67</w:t>
      </w:r>
      <w:r w:rsidR="00B96EAE" w:rsidRPr="00823ED6">
        <w:t>) de los casos con dengue grave</w:t>
      </w:r>
      <w:r w:rsidR="0035246E" w:rsidRPr="00823ED6">
        <w:t xml:space="preserve"> (tabla 2)</w:t>
      </w:r>
      <w:r w:rsidR="00B96EAE" w:rsidRPr="00823ED6">
        <w:t>.</w:t>
      </w:r>
    </w:p>
    <w:p w14:paraId="088F8C57" w14:textId="1546D105" w:rsidR="0035246E" w:rsidRPr="002D5BEB" w:rsidRDefault="0035246E" w:rsidP="0035246E">
      <w:pPr>
        <w:pStyle w:val="Ttuloayudavisual"/>
      </w:pPr>
      <w:r w:rsidRPr="002D5BEB">
        <w:t xml:space="preserve">Tabla </w:t>
      </w:r>
      <w:r w:rsidR="00532567" w:rsidRPr="002D5BEB">
        <w:t>2</w:t>
      </w:r>
      <w:r w:rsidRPr="002D5BEB">
        <w:t xml:space="preserve">. Indicadores de gestión por entidad territorial de notificación en Colombia, semanas epidemiológicas 01 a </w:t>
      </w:r>
      <w:r w:rsidR="006009A2" w:rsidRPr="002D5BEB">
        <w:t>2</w:t>
      </w:r>
      <w:r w:rsidR="002D5BEB" w:rsidRPr="002D5BEB">
        <w:t>5</w:t>
      </w:r>
      <w:r w:rsidRPr="002D5BEB">
        <w:t xml:space="preserve"> de 2023</w:t>
      </w:r>
    </w:p>
    <w:tbl>
      <w:tblPr>
        <w:tblW w:w="88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1"/>
        <w:gridCol w:w="927"/>
        <w:gridCol w:w="926"/>
        <w:gridCol w:w="929"/>
        <w:gridCol w:w="926"/>
        <w:gridCol w:w="926"/>
        <w:gridCol w:w="929"/>
        <w:gridCol w:w="926"/>
        <w:gridCol w:w="928"/>
      </w:tblGrid>
      <w:tr w:rsidR="00410943" w:rsidRPr="0085319E" w14:paraId="5CCA364F" w14:textId="77777777" w:rsidTr="00B17945">
        <w:trPr>
          <w:trHeight w:val="246"/>
        </w:trPr>
        <w:tc>
          <w:tcPr>
            <w:tcW w:w="142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E265F38" w14:textId="77777777" w:rsidR="00410943" w:rsidRPr="006D77C0" w:rsidRDefault="00410943" w:rsidP="004040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6D77C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Entidad territorial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FCBD3" w14:textId="77777777" w:rsidR="00410943" w:rsidRPr="006D77C0" w:rsidRDefault="00410943" w:rsidP="004040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6D77C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Casos (n) **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B2762" w14:textId="77777777" w:rsidR="00410943" w:rsidRPr="006D77C0" w:rsidRDefault="00410943" w:rsidP="004040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6D77C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Confirmación (%) **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2AA41" w14:textId="77777777" w:rsidR="00410943" w:rsidRPr="006D77C0" w:rsidRDefault="00410943" w:rsidP="004040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6D77C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Hospitalización **</w:t>
            </w:r>
          </w:p>
        </w:tc>
      </w:tr>
      <w:tr w:rsidR="007C6353" w:rsidRPr="0085319E" w14:paraId="40462F2E" w14:textId="77777777" w:rsidTr="00B17945">
        <w:trPr>
          <w:trHeight w:val="456"/>
        </w:trPr>
        <w:tc>
          <w:tcPr>
            <w:tcW w:w="142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4926577" w14:textId="77777777" w:rsidR="00410943" w:rsidRPr="006D77C0" w:rsidRDefault="00410943" w:rsidP="0040408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4B6E3C" w14:textId="77777777" w:rsidR="00410943" w:rsidRPr="006D77C0" w:rsidRDefault="00410943" w:rsidP="004040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6D77C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Sin signos de alarma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D0ABC4" w14:textId="77777777" w:rsidR="00410943" w:rsidRPr="006D77C0" w:rsidRDefault="00410943" w:rsidP="004040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6D77C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Con signos de alarma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5A7257" w14:textId="77777777" w:rsidR="00410943" w:rsidRPr="006D77C0" w:rsidRDefault="00410943" w:rsidP="004040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6D77C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Grave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E16245" w14:textId="77777777" w:rsidR="00410943" w:rsidRPr="006D77C0" w:rsidRDefault="00410943" w:rsidP="004040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6D77C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Sin signos de alarma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83FC36" w14:textId="77777777" w:rsidR="00410943" w:rsidRPr="006D77C0" w:rsidRDefault="00410943" w:rsidP="004040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6D77C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Con signos de alarma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6F62EF" w14:textId="77777777" w:rsidR="00410943" w:rsidRPr="006D77C0" w:rsidRDefault="00410943" w:rsidP="004040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6D77C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Grave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3330F4" w14:textId="77777777" w:rsidR="00410943" w:rsidRPr="006D77C0" w:rsidRDefault="00410943" w:rsidP="004040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6D77C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Con signos de alarma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EA0172" w14:textId="77777777" w:rsidR="00410943" w:rsidRPr="006D77C0" w:rsidRDefault="00410943" w:rsidP="004040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6D77C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Dengue grave</w:t>
            </w:r>
          </w:p>
        </w:tc>
      </w:tr>
      <w:tr w:rsidR="00B11AC6" w:rsidRPr="0085319E" w14:paraId="479F5E1D" w14:textId="77777777" w:rsidTr="00B11AC6">
        <w:trPr>
          <w:trHeight w:val="246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CDD76" w14:textId="50F7A1FA" w:rsidR="00B11AC6" w:rsidRPr="00B11AC6" w:rsidRDefault="00B11AC6" w:rsidP="00B11A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Amazonas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8EB55" w14:textId="470DD0E2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595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8F232" w14:textId="78133881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04B99" w14:textId="146B94DE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0E17C" w14:textId="7E3AC09E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30,4%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</w:tcPr>
          <w:p w14:paraId="6EF70EA9" w14:textId="2EFC618A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51,1%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</w:tcPr>
          <w:p w14:paraId="16FA6794" w14:textId="2336B397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0,0%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</w:tcPr>
          <w:p w14:paraId="1F6447BF" w14:textId="04947423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92,0%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</w:tcPr>
          <w:p w14:paraId="65213FF4" w14:textId="4E3812BE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100,0%</w:t>
            </w:r>
          </w:p>
        </w:tc>
      </w:tr>
      <w:tr w:rsidR="00B11AC6" w:rsidRPr="0085319E" w14:paraId="6017E285" w14:textId="77777777" w:rsidTr="00B11AC6">
        <w:trPr>
          <w:trHeight w:val="246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A5CA5" w14:textId="5833ED6C" w:rsidR="00B11AC6" w:rsidRPr="00B11AC6" w:rsidRDefault="00B11AC6" w:rsidP="00B11A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Antioquia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1052E" w14:textId="5B281F60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1007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06405" w14:textId="2D48893B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687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9D108" w14:textId="52C570BA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5091B" w14:textId="7B8276AB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54,0%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</w:tcPr>
          <w:p w14:paraId="1A3B2B8D" w14:textId="570F7BED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62,7%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</w:tcPr>
          <w:p w14:paraId="6B02726C" w14:textId="08120C0B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72,7%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</w:tcPr>
          <w:p w14:paraId="57EC8DE6" w14:textId="3764A669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66,8%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</w:tcPr>
          <w:p w14:paraId="290C835A" w14:textId="2B50EEA0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90,9%</w:t>
            </w:r>
          </w:p>
        </w:tc>
      </w:tr>
      <w:tr w:rsidR="00B11AC6" w:rsidRPr="0085319E" w14:paraId="72C8A71F" w14:textId="77777777" w:rsidTr="00B11AC6">
        <w:trPr>
          <w:trHeight w:val="246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9E575" w14:textId="5ADF39DA" w:rsidR="00B11AC6" w:rsidRPr="00B11AC6" w:rsidRDefault="00B11AC6" w:rsidP="00B11A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Arauca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46484" w14:textId="40BB5635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580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0D978" w14:textId="6DE70C50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3AF4E" w14:textId="53D049D4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90D98" w14:textId="78AD3216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7,6%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</w:tcPr>
          <w:p w14:paraId="666B33EB" w14:textId="276781A9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24,4%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B3A4F3" w14:textId="48E5FA0C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</w:tcPr>
          <w:p w14:paraId="3BCBCB4E" w14:textId="39B68D67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78,0%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33EB0" w14:textId="2B5B899A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N/A</w:t>
            </w:r>
          </w:p>
        </w:tc>
      </w:tr>
      <w:tr w:rsidR="00B11AC6" w:rsidRPr="0085319E" w14:paraId="558B5B62" w14:textId="77777777" w:rsidTr="00B11AC6">
        <w:trPr>
          <w:trHeight w:val="246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05184" w14:textId="71BAA2F9" w:rsidR="00B11AC6" w:rsidRPr="00B11AC6" w:rsidRDefault="00B11AC6" w:rsidP="00B11A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proofErr w:type="spellStart"/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Atlantico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3F52A" w14:textId="200B15FB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546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13FA7" w14:textId="64570AD5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484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392A8" w14:textId="7A47869C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DF838" w14:textId="25040AD4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75,8%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</w:tcPr>
          <w:p w14:paraId="0C98573C" w14:textId="2720401B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70,2%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</w:tcPr>
          <w:p w14:paraId="4B5758EF" w14:textId="1B482487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100,0%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</w:tcPr>
          <w:p w14:paraId="70FBB53E" w14:textId="39AE04EB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82,2%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</w:tcPr>
          <w:p w14:paraId="0365055C" w14:textId="63FF75D9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75,0%</w:t>
            </w:r>
          </w:p>
        </w:tc>
      </w:tr>
      <w:tr w:rsidR="00B11AC6" w:rsidRPr="0085319E" w14:paraId="77615FF8" w14:textId="77777777" w:rsidTr="00B11AC6">
        <w:trPr>
          <w:trHeight w:val="246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DAAF2" w14:textId="5A58F4CD" w:rsidR="00B11AC6" w:rsidRPr="00B11AC6" w:rsidRDefault="00B11AC6" w:rsidP="00B11A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Barranquilla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3F8C7" w14:textId="21B436B0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1179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BD598" w14:textId="19A2CC17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882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DDFE3" w14:textId="157C5324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30619" w14:textId="5D8E5C2D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84,1%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</w:tcPr>
          <w:p w14:paraId="00CD9FAA" w14:textId="39730ADB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92,9%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</w:tcPr>
          <w:p w14:paraId="6B72E12C" w14:textId="0D744B9A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96,3%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</w:tcPr>
          <w:p w14:paraId="31353977" w14:textId="418516D5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87,5%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</w:tcPr>
          <w:p w14:paraId="61EA5F92" w14:textId="29C9B296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100,0%</w:t>
            </w:r>
          </w:p>
        </w:tc>
      </w:tr>
      <w:tr w:rsidR="00B11AC6" w:rsidRPr="0085319E" w14:paraId="44113C17" w14:textId="77777777" w:rsidTr="00B11AC6">
        <w:trPr>
          <w:trHeight w:val="246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B9790" w14:textId="39D4E9BA" w:rsidR="00B11AC6" w:rsidRPr="00B11AC6" w:rsidRDefault="00B11AC6" w:rsidP="00B11A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Bolívar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273DC" w14:textId="3817581E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766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3A534" w14:textId="729C3EAD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56D1F" w14:textId="6F1D737F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7FEB4" w14:textId="57E4CAB1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44,4%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</w:tcPr>
          <w:p w14:paraId="0292FAF6" w14:textId="7F40D65E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53,0%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</w:tcPr>
          <w:p w14:paraId="5BB2725A" w14:textId="756CCDD4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25,0%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</w:tcPr>
          <w:p w14:paraId="67D9CF5F" w14:textId="6A213D9E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75,8%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</w:tcPr>
          <w:p w14:paraId="29F556D7" w14:textId="1845BD21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100,0%</w:t>
            </w:r>
          </w:p>
        </w:tc>
      </w:tr>
      <w:tr w:rsidR="00B11AC6" w:rsidRPr="0085319E" w14:paraId="2215D00A" w14:textId="77777777" w:rsidTr="00B11AC6">
        <w:trPr>
          <w:trHeight w:val="246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B0ADB" w14:textId="46754F96" w:rsidR="00B11AC6" w:rsidRPr="00B11AC6" w:rsidRDefault="00B11AC6" w:rsidP="00B11A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proofErr w:type="spellStart"/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Bogota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C5EDB" w14:textId="1D7B1AF7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FD599" w14:textId="16C637AC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2007B" w14:textId="4D526EF7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96DD6" w14:textId="6E77DD62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86,0%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</w:tcPr>
          <w:p w14:paraId="5AB78E05" w14:textId="0774E8C6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94,6%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</w:tcPr>
          <w:p w14:paraId="4ED04994" w14:textId="2B12A443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100,0%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</w:tcPr>
          <w:p w14:paraId="27A3A4F5" w14:textId="053457E4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77,2%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</w:tcPr>
          <w:p w14:paraId="4BFC1DF3" w14:textId="441C661F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100,0%</w:t>
            </w:r>
          </w:p>
        </w:tc>
      </w:tr>
      <w:tr w:rsidR="00B11AC6" w:rsidRPr="0085319E" w14:paraId="259DE6EF" w14:textId="77777777" w:rsidTr="00B11AC6">
        <w:trPr>
          <w:trHeight w:val="246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AE487" w14:textId="1086981E" w:rsidR="00B11AC6" w:rsidRPr="00B11AC6" w:rsidRDefault="00B11AC6" w:rsidP="00B11A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Boyacá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DE12B" w14:textId="16867D1C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3E519" w14:textId="407A5637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8A595" w14:textId="304A5AEA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51321" w14:textId="2F8EA22B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43,6%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</w:tcPr>
          <w:p w14:paraId="6F5BC1A9" w14:textId="0DF01953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48,3%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16728" w14:textId="4F08467D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</w:tcPr>
          <w:p w14:paraId="527F3FA0" w14:textId="0B85123D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58,5%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8ABA6" w14:textId="0B19660F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N/A</w:t>
            </w:r>
          </w:p>
        </w:tc>
      </w:tr>
      <w:tr w:rsidR="00B11AC6" w:rsidRPr="0085319E" w14:paraId="513B3F9E" w14:textId="77777777" w:rsidTr="00B11AC6">
        <w:trPr>
          <w:trHeight w:val="246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11A65" w14:textId="686D1441" w:rsidR="00B11AC6" w:rsidRPr="00B11AC6" w:rsidRDefault="00B11AC6" w:rsidP="00B11A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Buenaventura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E57AD" w14:textId="3BAEF467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67085" w14:textId="41E2F7BF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79501" w14:textId="3B473C8B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C166A" w14:textId="36EA7863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73,3%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</w:tcPr>
          <w:p w14:paraId="2434AC30" w14:textId="5C194A46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85,1%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</w:tcPr>
          <w:p w14:paraId="13BE7273" w14:textId="5143573D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100,0%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</w:tcPr>
          <w:p w14:paraId="0C39646C" w14:textId="1F76AA03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55,3%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</w:tcPr>
          <w:p w14:paraId="10CE3105" w14:textId="2664E951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100,0%</w:t>
            </w:r>
          </w:p>
        </w:tc>
      </w:tr>
      <w:tr w:rsidR="00B11AC6" w:rsidRPr="0085319E" w14:paraId="54B1B98B" w14:textId="77777777" w:rsidTr="00B11AC6">
        <w:trPr>
          <w:trHeight w:val="246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47014" w14:textId="0857930F" w:rsidR="00B11AC6" w:rsidRPr="00B11AC6" w:rsidRDefault="00B11AC6" w:rsidP="00B11A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Caldas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CADBE" w14:textId="22B156A1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B2433E" w14:textId="08553077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A669B" w14:textId="4730EDC4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F3448" w14:textId="3B1E5C4F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68,4%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</w:tcPr>
          <w:p w14:paraId="16157E2F" w14:textId="16C80FF4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75,6%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968440" w14:textId="1418C189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</w:tcPr>
          <w:p w14:paraId="165C676A" w14:textId="14C55999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78,0%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81104" w14:textId="720AF83A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N/A</w:t>
            </w:r>
          </w:p>
        </w:tc>
      </w:tr>
      <w:tr w:rsidR="00B11AC6" w:rsidRPr="0085319E" w14:paraId="18C565BF" w14:textId="77777777" w:rsidTr="00B11AC6">
        <w:trPr>
          <w:trHeight w:val="246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7E356" w14:textId="29E1CB5F" w:rsidR="00B11AC6" w:rsidRPr="00B11AC6" w:rsidRDefault="00B11AC6" w:rsidP="00B11A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Cali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492BEA" w14:textId="5643D08E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1496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68966" w14:textId="02A4B7A6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1007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1DC48" w14:textId="0426098A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C81EA" w14:textId="4248A962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51,6%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</w:tcPr>
          <w:p w14:paraId="54B0939F" w14:textId="7896F28D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75,0%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</w:tcPr>
          <w:p w14:paraId="151C1BA6" w14:textId="51E3F399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79,4%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</w:tcPr>
          <w:p w14:paraId="725D5D75" w14:textId="31050F79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83,4%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</w:tcPr>
          <w:p w14:paraId="02D74D84" w14:textId="2A2F5519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97,1%</w:t>
            </w:r>
          </w:p>
        </w:tc>
      </w:tr>
      <w:tr w:rsidR="00B11AC6" w:rsidRPr="0085319E" w14:paraId="6A8BF025" w14:textId="77777777" w:rsidTr="00B11AC6">
        <w:trPr>
          <w:trHeight w:val="246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D0AFB" w14:textId="74E06623" w:rsidR="00B11AC6" w:rsidRPr="00B11AC6" w:rsidRDefault="00B11AC6" w:rsidP="00B11A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Caquetá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B31AD" w14:textId="5FBB468C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771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D824E" w14:textId="2E8E5030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627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CB69E" w14:textId="24A7076C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A67B6D" w14:textId="36D486BD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78,9%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</w:tcPr>
          <w:p w14:paraId="61D9EEFE" w14:textId="1241C599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84,1%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</w:tcPr>
          <w:p w14:paraId="00B283C8" w14:textId="00463642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88,9%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</w:tcPr>
          <w:p w14:paraId="5B764CA6" w14:textId="209C33E2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76,1%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</w:tcPr>
          <w:p w14:paraId="64675099" w14:textId="237F1788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88,9%</w:t>
            </w:r>
          </w:p>
        </w:tc>
      </w:tr>
      <w:tr w:rsidR="00B11AC6" w:rsidRPr="0085319E" w14:paraId="71CAFD29" w14:textId="77777777" w:rsidTr="00B11AC6">
        <w:trPr>
          <w:trHeight w:val="246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8B13B" w14:textId="5DB687A2" w:rsidR="00B11AC6" w:rsidRPr="00B11AC6" w:rsidRDefault="00B11AC6" w:rsidP="00B11A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Cartagena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3EC97" w14:textId="3E7E39C7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1340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833A0" w14:textId="0B7B5EAA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565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141A4" w14:textId="16EB4B4B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FF31D" w14:textId="5BB4442D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35,6%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</w:tcPr>
          <w:p w14:paraId="565E84C3" w14:textId="2DA85A93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63,7%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</w:tcPr>
          <w:p w14:paraId="031815E5" w14:textId="2EA78648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83,3%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</w:tcPr>
          <w:p w14:paraId="4E0C98A1" w14:textId="6BD73991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69,0%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</w:tcPr>
          <w:p w14:paraId="5448394C" w14:textId="3AC85F78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96,7%</w:t>
            </w:r>
          </w:p>
        </w:tc>
      </w:tr>
      <w:tr w:rsidR="00B11AC6" w:rsidRPr="0085319E" w14:paraId="545782AE" w14:textId="77777777" w:rsidTr="00B11AC6">
        <w:trPr>
          <w:trHeight w:val="246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F04F5" w14:textId="340358BC" w:rsidR="00B11AC6" w:rsidRPr="00B11AC6" w:rsidRDefault="00B11AC6" w:rsidP="00B11A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Casanare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DF69B" w14:textId="7F6FEB7A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562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A7CB7" w14:textId="03A99698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F3B3E" w14:textId="1C02EEA8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E08D4B" w14:textId="378A67AB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17,6%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</w:tcPr>
          <w:p w14:paraId="0E9952F0" w14:textId="53B7CD48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45,1%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</w:tcPr>
          <w:p w14:paraId="2B0F68C0" w14:textId="4D4B2BE8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81,8%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</w:tcPr>
          <w:p w14:paraId="093263FF" w14:textId="57E03A92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91,6%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</w:tcPr>
          <w:p w14:paraId="6D32E3BC" w14:textId="5033E454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100,0%</w:t>
            </w:r>
          </w:p>
        </w:tc>
      </w:tr>
      <w:tr w:rsidR="00B11AC6" w:rsidRPr="0085319E" w14:paraId="5B95E3EF" w14:textId="77777777" w:rsidTr="00B11AC6">
        <w:trPr>
          <w:trHeight w:val="246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D2FE4" w14:textId="71CB5CEE" w:rsidR="00B11AC6" w:rsidRPr="00B11AC6" w:rsidRDefault="00B11AC6" w:rsidP="00B11A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Cauca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32023" w14:textId="21B8FE50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49E2D" w14:textId="5101139C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51EC8" w14:textId="315A2BA1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AB101" w14:textId="6B487ECD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95,8%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</w:tcPr>
          <w:p w14:paraId="41A53EBE" w14:textId="57356AF8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96,5%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</w:tcPr>
          <w:p w14:paraId="7B64CE85" w14:textId="37558688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100,0%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</w:tcPr>
          <w:p w14:paraId="6553B9CD" w14:textId="6716F276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79,4%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</w:tcPr>
          <w:p w14:paraId="580BE67B" w14:textId="766077A6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100,0%</w:t>
            </w:r>
          </w:p>
        </w:tc>
      </w:tr>
      <w:tr w:rsidR="00B11AC6" w:rsidRPr="0085319E" w14:paraId="40D18D44" w14:textId="77777777" w:rsidTr="00B11AC6">
        <w:trPr>
          <w:trHeight w:val="246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62D34" w14:textId="6DDB12E3" w:rsidR="00B11AC6" w:rsidRPr="00B11AC6" w:rsidRDefault="00B11AC6" w:rsidP="00B11A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Cesar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0F484" w14:textId="08708AC6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745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13084" w14:textId="60888E97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1245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EF325" w14:textId="71D32DB0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2BF50" w14:textId="4D8CBC49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55,3%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</w:tcPr>
          <w:p w14:paraId="26E2370E" w14:textId="2B202665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77,3%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</w:tcPr>
          <w:p w14:paraId="4F66E981" w14:textId="0B6DBD6C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81,6%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</w:tcPr>
          <w:p w14:paraId="3A18D667" w14:textId="0C088BB7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95,2%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</w:tcPr>
          <w:p w14:paraId="65E5ED68" w14:textId="3EE496CA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96,1%</w:t>
            </w:r>
          </w:p>
        </w:tc>
      </w:tr>
      <w:tr w:rsidR="00B11AC6" w:rsidRPr="0085319E" w14:paraId="1D1ACF6F" w14:textId="77777777" w:rsidTr="00B11AC6">
        <w:trPr>
          <w:trHeight w:val="246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5456A" w14:textId="62799CC5" w:rsidR="00B11AC6" w:rsidRPr="00B11AC6" w:rsidRDefault="00B11AC6" w:rsidP="00B11A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Chocó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4D9F0" w14:textId="6E802627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98B47" w14:textId="45449849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0FA62" w14:textId="7392F492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826868" w14:textId="67BD6CE3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99,5%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</w:tcPr>
          <w:p w14:paraId="3CEC195A" w14:textId="69073760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98,7%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</w:tcPr>
          <w:p w14:paraId="489554AE" w14:textId="54E441D4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100,0%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</w:tcPr>
          <w:p w14:paraId="23DE7FE3" w14:textId="53BE47B1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45,3%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</w:tcPr>
          <w:p w14:paraId="29DCF7CA" w14:textId="45D13DCC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100,0%</w:t>
            </w:r>
          </w:p>
        </w:tc>
      </w:tr>
      <w:tr w:rsidR="00B11AC6" w:rsidRPr="0085319E" w14:paraId="0DC0D67C" w14:textId="77777777" w:rsidTr="00B11AC6">
        <w:trPr>
          <w:trHeight w:val="246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4A101" w14:textId="073C958D" w:rsidR="00B11AC6" w:rsidRPr="00B11AC6" w:rsidRDefault="00B11AC6" w:rsidP="00B11A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Córdoba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1685F" w14:textId="3A41FEEA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899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DE985" w14:textId="10DD35CC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759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44119" w14:textId="11657DF9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23540" w14:textId="7D9E6908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63,0%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</w:tcPr>
          <w:p w14:paraId="64B19191" w14:textId="41306539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94,2%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</w:tcPr>
          <w:p w14:paraId="0B2A6629" w14:textId="78A8055C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95,0%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</w:tcPr>
          <w:p w14:paraId="749DD762" w14:textId="60E28977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88,4%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</w:tcPr>
          <w:p w14:paraId="665CB60C" w14:textId="6DC07B8F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100,0%</w:t>
            </w:r>
          </w:p>
        </w:tc>
      </w:tr>
      <w:tr w:rsidR="00B11AC6" w:rsidRPr="0085319E" w14:paraId="1A27E591" w14:textId="77777777" w:rsidTr="00B11AC6">
        <w:trPr>
          <w:trHeight w:val="246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10AA5" w14:textId="0C511B48" w:rsidR="00B11AC6" w:rsidRPr="00B11AC6" w:rsidRDefault="00B11AC6" w:rsidP="00B11A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Cundinamarca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22D3C" w14:textId="1E90563A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1228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E5A12" w14:textId="2248A3F9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1167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2475F" w14:textId="57C74413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8D176" w14:textId="128B64B9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48,7%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</w:tcPr>
          <w:p w14:paraId="0558A6CA" w14:textId="08A3BC31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68,7%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</w:tcPr>
          <w:p w14:paraId="35033DDE" w14:textId="0C775302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57,1%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</w:tcPr>
          <w:p w14:paraId="5869471D" w14:textId="58B837D6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94,9%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</w:tcPr>
          <w:p w14:paraId="59D9F8BA" w14:textId="2E42EADB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90,5%</w:t>
            </w:r>
          </w:p>
        </w:tc>
      </w:tr>
      <w:tr w:rsidR="00B11AC6" w:rsidRPr="0085319E" w14:paraId="3C86639E" w14:textId="77777777" w:rsidTr="00B11AC6">
        <w:trPr>
          <w:trHeight w:val="246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EB808" w14:textId="58388C6E" w:rsidR="00B11AC6" w:rsidRPr="00B11AC6" w:rsidRDefault="00B11AC6" w:rsidP="00B11A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Guainía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6C1E7" w14:textId="0C702CA2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9A131" w14:textId="466D0011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9D2C2" w14:textId="5EA87560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71CFD" w14:textId="7FABBE9C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71,4%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</w:tcPr>
          <w:p w14:paraId="4E7FFECF" w14:textId="7ABC6599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63,0%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</w:tcPr>
          <w:p w14:paraId="1F5F306E" w14:textId="28929366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0,0%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</w:tcPr>
          <w:p w14:paraId="21D1AEA6" w14:textId="1A2D6A6D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77,8%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</w:tcPr>
          <w:p w14:paraId="0425E31C" w14:textId="5B589E2E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100,0%</w:t>
            </w:r>
          </w:p>
        </w:tc>
      </w:tr>
      <w:tr w:rsidR="00B11AC6" w:rsidRPr="0085319E" w14:paraId="224F0298" w14:textId="77777777" w:rsidTr="00B11AC6">
        <w:trPr>
          <w:trHeight w:val="246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871F4" w14:textId="71B92898" w:rsidR="00B11AC6" w:rsidRPr="00B11AC6" w:rsidRDefault="00B11AC6" w:rsidP="00B11A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La Guajira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28510A" w14:textId="67573FE9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B9DDB3" w14:textId="193BAEAE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975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AF99C" w14:textId="21A9054E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6D0DA" w14:textId="6C3D4EBC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94,0%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</w:tcPr>
          <w:p w14:paraId="4F472CB6" w14:textId="0702747E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97,4%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</w:tcPr>
          <w:p w14:paraId="788B2325" w14:textId="043BB25C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100,0%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</w:tcPr>
          <w:p w14:paraId="0CD04B44" w14:textId="013629D3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83,4%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</w:tcPr>
          <w:p w14:paraId="2DE416E4" w14:textId="15EF3230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93,3%</w:t>
            </w:r>
          </w:p>
        </w:tc>
      </w:tr>
      <w:tr w:rsidR="00B11AC6" w:rsidRPr="0085319E" w14:paraId="276C9A90" w14:textId="77777777" w:rsidTr="00B11AC6">
        <w:trPr>
          <w:trHeight w:val="246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34BEC" w14:textId="14650733" w:rsidR="00B11AC6" w:rsidRPr="00B11AC6" w:rsidRDefault="00B11AC6" w:rsidP="00B11A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Guaviare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47A40" w14:textId="02D1F181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527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290BC" w14:textId="4B2AA603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771F0" w14:textId="3E2F8F81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AC9F3" w14:textId="41A128D2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76,7%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</w:tcPr>
          <w:p w14:paraId="653226DF" w14:textId="5EA7DBC6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89,2%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</w:tcPr>
          <w:p w14:paraId="500A30AC" w14:textId="68A732D0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50,0%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</w:tcPr>
          <w:p w14:paraId="31FA1366" w14:textId="71554760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93,3%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</w:tcPr>
          <w:p w14:paraId="61C6EC85" w14:textId="6FA02AB4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100,0%</w:t>
            </w:r>
          </w:p>
        </w:tc>
      </w:tr>
      <w:tr w:rsidR="00B11AC6" w:rsidRPr="0085319E" w14:paraId="5096D5F8" w14:textId="77777777" w:rsidTr="00B11AC6">
        <w:trPr>
          <w:trHeight w:val="246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723D8A" w14:textId="6E932CE8" w:rsidR="00B11AC6" w:rsidRPr="00B11AC6" w:rsidRDefault="00B11AC6" w:rsidP="00B11A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Huila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F8597" w14:textId="1F2EA151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4BD03" w14:textId="5AEF5C98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543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F3D6B0" w14:textId="2BC00797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FD310" w14:textId="00EFF391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66,7%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</w:tcPr>
          <w:p w14:paraId="7AD0DE55" w14:textId="105FAEA3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77,2%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</w:tcPr>
          <w:p w14:paraId="39EE54B2" w14:textId="41BB5618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95,3%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</w:tcPr>
          <w:p w14:paraId="07340736" w14:textId="4AE2A282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75,9%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</w:tcPr>
          <w:p w14:paraId="72054E39" w14:textId="738137D4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100,0%</w:t>
            </w:r>
          </w:p>
        </w:tc>
      </w:tr>
      <w:tr w:rsidR="00B11AC6" w:rsidRPr="0085319E" w14:paraId="7F055F01" w14:textId="77777777" w:rsidTr="00B11AC6">
        <w:trPr>
          <w:trHeight w:val="246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B6F46" w14:textId="3F47C1B8" w:rsidR="00B11AC6" w:rsidRPr="00B11AC6" w:rsidRDefault="00B11AC6" w:rsidP="00B11A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Magdalena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8A4A5" w14:textId="3EDF7381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15471" w14:textId="1D5EF687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12853" w14:textId="5F246AA3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4D79D" w14:textId="131BE801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63,4%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</w:tcPr>
          <w:p w14:paraId="2B30653F" w14:textId="30A01A59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81,6%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</w:tcPr>
          <w:p w14:paraId="7AA8F91A" w14:textId="091F93B7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100,0%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</w:tcPr>
          <w:p w14:paraId="3F6944C5" w14:textId="1B727C9E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69,8%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</w:tcPr>
          <w:p w14:paraId="448009D1" w14:textId="12238887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100,0%</w:t>
            </w:r>
          </w:p>
        </w:tc>
      </w:tr>
      <w:tr w:rsidR="00B11AC6" w:rsidRPr="0085319E" w14:paraId="7E1C1691" w14:textId="77777777" w:rsidTr="00B11AC6">
        <w:trPr>
          <w:trHeight w:val="246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A9F87" w14:textId="78394F53" w:rsidR="00B11AC6" w:rsidRPr="00B11AC6" w:rsidRDefault="00B11AC6" w:rsidP="00B11A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Meta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6C2C0" w14:textId="49A50A67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5744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4A2F3F" w14:textId="5B8CF6F2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3560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34227" w14:textId="49EA8079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DA9D5" w14:textId="444F84A3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11,8%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</w:tcPr>
          <w:p w14:paraId="59393E26" w14:textId="39A04385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45,0%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</w:tcPr>
          <w:p w14:paraId="0412159E" w14:textId="544B2B25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54,3%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</w:tcPr>
          <w:p w14:paraId="44D411C2" w14:textId="62C2FE82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79,6%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</w:tcPr>
          <w:p w14:paraId="16BA24A2" w14:textId="6DAAB9C9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100,0%</w:t>
            </w:r>
          </w:p>
        </w:tc>
      </w:tr>
      <w:tr w:rsidR="00B11AC6" w:rsidRPr="0085319E" w14:paraId="1DAF25F8" w14:textId="77777777" w:rsidTr="00B11AC6">
        <w:trPr>
          <w:trHeight w:val="246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AAFF7" w14:textId="49A637D3" w:rsidR="00B11AC6" w:rsidRPr="00B11AC6" w:rsidRDefault="00B11AC6" w:rsidP="00B11A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Nariño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D50CD" w14:textId="08B87166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478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1998B" w14:textId="26E2FE11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C57DE" w14:textId="6D39ABDD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3A87A" w14:textId="58832762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99,2%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</w:tcPr>
          <w:p w14:paraId="0CC33F71" w14:textId="3A8ABC3C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97,7%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</w:tcPr>
          <w:p w14:paraId="396593D7" w14:textId="77641745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77,8%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</w:tcPr>
          <w:p w14:paraId="08E56504" w14:textId="55DDAB39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76,4%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</w:tcPr>
          <w:p w14:paraId="63610FFC" w14:textId="33FE9EF9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88,9%</w:t>
            </w:r>
          </w:p>
        </w:tc>
      </w:tr>
      <w:tr w:rsidR="00B11AC6" w:rsidRPr="0085319E" w14:paraId="4F8B1E36" w14:textId="77777777" w:rsidTr="00B11AC6">
        <w:trPr>
          <w:trHeight w:val="246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05264" w14:textId="4A257433" w:rsidR="00B11AC6" w:rsidRPr="00B11AC6" w:rsidRDefault="00B11AC6" w:rsidP="00B11A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Norte Santander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5A21E" w14:textId="19E795C8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846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91FEF" w14:textId="6469D78C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ACECB" w14:textId="4B7EF10C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C19B7" w14:textId="5FF2355F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17,1%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</w:tcPr>
          <w:p w14:paraId="2E033E66" w14:textId="69F65972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67,9%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</w:tcPr>
          <w:p w14:paraId="4D7D9C61" w14:textId="2AD265BF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95,7%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</w:tcPr>
          <w:p w14:paraId="66E52075" w14:textId="64962979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88,1%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</w:tcPr>
          <w:p w14:paraId="7F1B25EE" w14:textId="6FC20608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100,0%</w:t>
            </w:r>
          </w:p>
        </w:tc>
      </w:tr>
      <w:tr w:rsidR="00B11AC6" w:rsidRPr="0085319E" w14:paraId="41D80A23" w14:textId="77777777" w:rsidTr="00B11AC6">
        <w:trPr>
          <w:trHeight w:val="246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2D61C" w14:textId="016E6383" w:rsidR="00B11AC6" w:rsidRPr="00B11AC6" w:rsidRDefault="00B11AC6" w:rsidP="00B11A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Putumayo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CB782" w14:textId="02EC3CC9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728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8A6B5" w14:textId="3BE4943B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0353D" w14:textId="4B177D06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72393" w14:textId="5F243BC0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37,9%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</w:tcPr>
          <w:p w14:paraId="6F5CA401" w14:textId="0C151629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69,2%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</w:tcPr>
          <w:p w14:paraId="500C9FE4" w14:textId="1FFFDB78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100,0%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</w:tcPr>
          <w:p w14:paraId="0F5ECC77" w14:textId="35934364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97,7%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</w:tcPr>
          <w:p w14:paraId="42D6B484" w14:textId="6D8D2107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100,0%</w:t>
            </w:r>
          </w:p>
        </w:tc>
      </w:tr>
      <w:tr w:rsidR="00B11AC6" w:rsidRPr="0085319E" w14:paraId="29EEA0BB" w14:textId="77777777" w:rsidTr="00B11AC6">
        <w:trPr>
          <w:trHeight w:val="246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9C6EB" w14:textId="5A38F13E" w:rsidR="00B11AC6" w:rsidRPr="00B11AC6" w:rsidRDefault="00B11AC6" w:rsidP="00B11A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Quindío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0F5EB" w14:textId="558BC059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71C53" w14:textId="6D5EF497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681D4" w14:textId="6EDA3206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F8E96" w14:textId="43BE030B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19,8%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</w:tcPr>
          <w:p w14:paraId="47CDF1F9" w14:textId="6B87A85E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21,6%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</w:tcPr>
          <w:p w14:paraId="42C8C35C" w14:textId="4E530327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100,0%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</w:tcPr>
          <w:p w14:paraId="2AFB7B76" w14:textId="61ACC350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68,9%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</w:tcPr>
          <w:p w14:paraId="0CBC2BF2" w14:textId="3BCDAD3A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100,0%</w:t>
            </w:r>
          </w:p>
        </w:tc>
      </w:tr>
      <w:tr w:rsidR="00B11AC6" w:rsidRPr="0085319E" w14:paraId="43F01CFA" w14:textId="77777777" w:rsidTr="00B11AC6">
        <w:trPr>
          <w:trHeight w:val="246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8FA27" w14:textId="5C7B69C1" w:rsidR="00B11AC6" w:rsidRPr="00B11AC6" w:rsidRDefault="00B11AC6" w:rsidP="00B11A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Risaralda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18A4E" w14:textId="0594E93C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38788" w14:textId="3CC4474A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36B43" w14:textId="50EFA6F7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6C7AE" w14:textId="14E53DB5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40,6%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</w:tcPr>
          <w:p w14:paraId="4CE7059F" w14:textId="397CF26A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46,2%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</w:tcPr>
          <w:p w14:paraId="55CF936E" w14:textId="096CA60D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100,0%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</w:tcPr>
          <w:p w14:paraId="1757C7AB" w14:textId="282AF686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84,6%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</w:tcPr>
          <w:p w14:paraId="1D93A365" w14:textId="13403631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100,0%</w:t>
            </w:r>
          </w:p>
        </w:tc>
      </w:tr>
      <w:tr w:rsidR="00B11AC6" w:rsidRPr="0085319E" w14:paraId="6F879EEC" w14:textId="77777777" w:rsidTr="00B11AC6">
        <w:trPr>
          <w:trHeight w:val="246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48101" w14:textId="216BC288" w:rsidR="00B11AC6" w:rsidRPr="00B11AC6" w:rsidRDefault="00B11AC6" w:rsidP="00B11A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San Andrés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5E990" w14:textId="3E128EE2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E3039" w14:textId="690045C5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CDEBC" w14:textId="4A819652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9BEF2" w14:textId="68709603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66,7%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</w:tcPr>
          <w:p w14:paraId="54AF0BED" w14:textId="4237E335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85,7%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95DE9" w14:textId="7514343A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</w:tcPr>
          <w:p w14:paraId="1744932E" w14:textId="23249C51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100,0%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F15E4" w14:textId="4E8DA405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N/A</w:t>
            </w:r>
          </w:p>
        </w:tc>
      </w:tr>
      <w:tr w:rsidR="00B11AC6" w:rsidRPr="0085319E" w14:paraId="08434954" w14:textId="77777777" w:rsidTr="00B11AC6">
        <w:trPr>
          <w:trHeight w:val="246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E8AE6F" w14:textId="2ADA306E" w:rsidR="00B11AC6" w:rsidRPr="00B11AC6" w:rsidRDefault="00B11AC6" w:rsidP="00B11A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Santander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8A4FA" w14:textId="0F80B2EC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1490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DDDB0" w14:textId="575CBBBC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1434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0EA519" w14:textId="1B9AF763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062BC" w14:textId="23114D82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42,7%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</w:tcPr>
          <w:p w14:paraId="5738980B" w14:textId="69D74512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74,1%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</w:tcPr>
          <w:p w14:paraId="312DCBFE" w14:textId="0281C35F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90,0%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</w:tcPr>
          <w:p w14:paraId="44F79BA0" w14:textId="4730C257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85,2%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</w:tcPr>
          <w:p w14:paraId="6A1A267C" w14:textId="349C719B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98,0%</w:t>
            </w:r>
          </w:p>
        </w:tc>
      </w:tr>
      <w:tr w:rsidR="00B11AC6" w:rsidRPr="0085319E" w14:paraId="20C320C3" w14:textId="77777777" w:rsidTr="00B11AC6">
        <w:trPr>
          <w:trHeight w:val="246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0CCAC" w14:textId="70BF044C" w:rsidR="00B11AC6" w:rsidRPr="00B11AC6" w:rsidRDefault="00B11AC6" w:rsidP="00B11A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Santa Marta D.E.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89BF4" w14:textId="6B14D244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3C5B1" w14:textId="18D361E2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40047" w14:textId="005ED33A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B69B3" w14:textId="50DA0D6B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53,1%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</w:tcPr>
          <w:p w14:paraId="7142E3EC" w14:textId="5841A84C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80,2%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</w:tcPr>
          <w:p w14:paraId="2E2EC427" w14:textId="69E25F72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80,0%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</w:tcPr>
          <w:p w14:paraId="5327E9E7" w14:textId="2C749193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85,2%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</w:tcPr>
          <w:p w14:paraId="3D4525AD" w14:textId="0F01833B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100,0%</w:t>
            </w:r>
          </w:p>
        </w:tc>
      </w:tr>
      <w:tr w:rsidR="00B11AC6" w:rsidRPr="0085319E" w14:paraId="6AC07B11" w14:textId="77777777" w:rsidTr="00B11AC6">
        <w:trPr>
          <w:trHeight w:val="246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C942E" w14:textId="48142535" w:rsidR="00B11AC6" w:rsidRPr="00B11AC6" w:rsidRDefault="00B11AC6" w:rsidP="00B11A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Sucre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5DA384" w14:textId="47E433A0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667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6F411" w14:textId="189D6502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1386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E0658" w14:textId="6938B612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63375" w14:textId="3FADC128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46,6%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</w:tcPr>
          <w:p w14:paraId="0F111960" w14:textId="07D7F599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66,1%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</w:tcPr>
          <w:p w14:paraId="1E0733BF" w14:textId="02F5AECD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80,6%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</w:tcPr>
          <w:p w14:paraId="1558DEE3" w14:textId="263F9523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89,8%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</w:tcPr>
          <w:p w14:paraId="0D6B5C4C" w14:textId="70492F10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96,8%</w:t>
            </w:r>
          </w:p>
        </w:tc>
      </w:tr>
      <w:tr w:rsidR="00B11AC6" w:rsidRPr="0085319E" w14:paraId="2D1685F2" w14:textId="77777777" w:rsidTr="00B11AC6">
        <w:trPr>
          <w:trHeight w:val="246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E2280" w14:textId="429F775E" w:rsidR="00B11AC6" w:rsidRPr="00B11AC6" w:rsidRDefault="00B11AC6" w:rsidP="00B11A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Tolima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E74D8" w14:textId="7AB3230B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2711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5757D" w14:textId="45544B4A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1724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8E8FD" w14:textId="4DD93E1C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F3509" w14:textId="2230850D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7,6%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</w:tcPr>
          <w:p w14:paraId="28C26F51" w14:textId="3A6D0523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41,2%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</w:tcPr>
          <w:p w14:paraId="4635301F" w14:textId="036AD926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72,9%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</w:tcPr>
          <w:p w14:paraId="0183E9DC" w14:textId="35193A95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86,3%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</w:tcPr>
          <w:p w14:paraId="3CAF532C" w14:textId="23E92D50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100,0%</w:t>
            </w:r>
          </w:p>
        </w:tc>
      </w:tr>
      <w:tr w:rsidR="00B11AC6" w:rsidRPr="0085319E" w14:paraId="3811D992" w14:textId="77777777" w:rsidTr="00B11AC6">
        <w:trPr>
          <w:trHeight w:val="246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1D5461" w14:textId="437C1EF8" w:rsidR="00B11AC6" w:rsidRPr="00B11AC6" w:rsidRDefault="00B11AC6" w:rsidP="00B11A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Valle del Cauca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AE150" w14:textId="0BBCDFD2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589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265E5" w14:textId="67E338F4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BE5FF" w14:textId="130CD54A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33F60" w14:textId="6E5F39E4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20,0%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</w:tcPr>
          <w:p w14:paraId="15833A9E" w14:textId="563CE101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33,2%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</w:tcPr>
          <w:p w14:paraId="666C72B9" w14:textId="7890C2E5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75,0%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</w:tcPr>
          <w:p w14:paraId="697A0D4E" w14:textId="6491BBBB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57,3%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</w:tcPr>
          <w:p w14:paraId="0A5D4AF9" w14:textId="45DBEE8B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100,0%</w:t>
            </w:r>
          </w:p>
        </w:tc>
      </w:tr>
      <w:tr w:rsidR="00B11AC6" w:rsidRPr="0085319E" w14:paraId="66EE5F21" w14:textId="77777777" w:rsidTr="00B11AC6">
        <w:trPr>
          <w:trHeight w:val="246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488D6" w14:textId="215B1CC5" w:rsidR="00B11AC6" w:rsidRPr="00B11AC6" w:rsidRDefault="00B11AC6" w:rsidP="00B11A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Vaupés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24891" w14:textId="3F6B75FA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6BFD1" w14:textId="1899CB71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95FEF" w14:textId="5F1E7CCD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237B5" w14:textId="2FA69AA4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92,4%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</w:tcPr>
          <w:p w14:paraId="452FEA1A" w14:textId="25875B13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100,0%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</w:tcPr>
          <w:p w14:paraId="5A34CEFF" w14:textId="54BDA50B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100,0%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</w:tcPr>
          <w:p w14:paraId="36F5E787" w14:textId="0A71793B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66,7%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</w:tcPr>
          <w:p w14:paraId="12BFE62F" w14:textId="3E4484EE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100,0%</w:t>
            </w:r>
          </w:p>
        </w:tc>
      </w:tr>
      <w:tr w:rsidR="00B11AC6" w:rsidRPr="0085319E" w14:paraId="47E70419" w14:textId="77777777" w:rsidTr="00B11AC6">
        <w:trPr>
          <w:trHeight w:val="246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46ED2" w14:textId="65AC76A6" w:rsidR="00B11AC6" w:rsidRPr="00B11AC6" w:rsidRDefault="00B11AC6" w:rsidP="00B11A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Vichada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C5577" w14:textId="2450B67E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794A3" w14:textId="4775C0BC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E2C53" w14:textId="0B6FD8A6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7306A" w14:textId="5CD6FE71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82,4%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</w:tcPr>
          <w:p w14:paraId="34A91831" w14:textId="3EEC2059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75,0%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1E6CB" w14:textId="03A1D45F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</w:tcPr>
          <w:p w14:paraId="07CFCF2B" w14:textId="725CF269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65,0%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B5ACB" w14:textId="72CCA54C" w:rsidR="00B11AC6" w:rsidRPr="00B11AC6" w:rsidRDefault="00B11AC6" w:rsidP="00B11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highlight w:val="yellow"/>
                <w:lang w:val="es-CO" w:eastAsia="es-CO"/>
              </w:rPr>
            </w:pPr>
            <w:r w:rsidRPr="00B11AC6">
              <w:rPr>
                <w:rFonts w:ascii="Arial Narrow" w:hAnsi="Arial Narrow" w:cs="Calibri"/>
                <w:color w:val="000000"/>
                <w:sz w:val="16"/>
                <w:szCs w:val="16"/>
              </w:rPr>
              <w:t>N/A</w:t>
            </w:r>
          </w:p>
        </w:tc>
      </w:tr>
      <w:tr w:rsidR="006D77C0" w:rsidRPr="006D77C0" w14:paraId="75BDCF32" w14:textId="77777777" w:rsidTr="006D77C0">
        <w:trPr>
          <w:trHeight w:val="246"/>
        </w:trPr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951192" w14:textId="37ACB37E" w:rsidR="006D77C0" w:rsidRPr="006D77C0" w:rsidRDefault="006D77C0" w:rsidP="006D77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6D77C0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Colombia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CFC363" w14:textId="29D85EEA" w:rsidR="006D77C0" w:rsidRPr="006D77C0" w:rsidRDefault="006D77C0" w:rsidP="006D77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6D77C0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28725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879364" w14:textId="6CBDFA11" w:rsidR="006D77C0" w:rsidRPr="006D77C0" w:rsidRDefault="006D77C0" w:rsidP="006D77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6D77C0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21389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2E48C7" w14:textId="4F2F4DD1" w:rsidR="006D77C0" w:rsidRPr="006D77C0" w:rsidRDefault="006D77C0" w:rsidP="006D77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6D77C0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683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AAF866" w14:textId="64C93DA4" w:rsidR="006D77C0" w:rsidRPr="006D77C0" w:rsidRDefault="006D77C0" w:rsidP="006D77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6D77C0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41,0%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</w:tcPr>
          <w:p w14:paraId="4E082F6E" w14:textId="174E99F1" w:rsidR="006D77C0" w:rsidRPr="006D77C0" w:rsidRDefault="006D77C0" w:rsidP="006D77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6D77C0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66,3%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9D08E"/>
            <w:noWrap/>
            <w:vAlign w:val="center"/>
          </w:tcPr>
          <w:p w14:paraId="2B1068A7" w14:textId="3D747277" w:rsidR="006D77C0" w:rsidRPr="006D77C0" w:rsidRDefault="006D77C0" w:rsidP="006D77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6D77C0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81,6%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9D08E"/>
            <w:noWrap/>
            <w:vAlign w:val="center"/>
          </w:tcPr>
          <w:p w14:paraId="2F8B9268" w14:textId="375816BF" w:rsidR="006D77C0" w:rsidRPr="006D77C0" w:rsidRDefault="006D77C0" w:rsidP="006D77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6D77C0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83,1%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9D08E"/>
            <w:noWrap/>
            <w:vAlign w:val="center"/>
          </w:tcPr>
          <w:p w14:paraId="187C5B0D" w14:textId="496D7D38" w:rsidR="006D77C0" w:rsidRPr="006D77C0" w:rsidRDefault="006D77C0" w:rsidP="006D77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6D77C0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97,7%</w:t>
            </w:r>
          </w:p>
        </w:tc>
      </w:tr>
    </w:tbl>
    <w:p w14:paraId="48DE1A65" w14:textId="77777777" w:rsidR="00E65665" w:rsidRPr="006D77C0" w:rsidRDefault="00E65665" w:rsidP="00524266">
      <w:pPr>
        <w:pStyle w:val="Piedeayudavisual"/>
      </w:pPr>
      <w:r w:rsidRPr="006D77C0">
        <w:rPr>
          <w:bCs/>
        </w:rPr>
        <w:t xml:space="preserve">Fuente: </w:t>
      </w:r>
      <w:r w:rsidRPr="006D77C0">
        <w:t>Sivigila, Instituto Nacional de Salud, Colombia, 2023</w:t>
      </w:r>
    </w:p>
    <w:p w14:paraId="3BE7E87F" w14:textId="2DCAF7CA" w:rsidR="001C755E" w:rsidRPr="0085319E" w:rsidRDefault="00DA0FBD" w:rsidP="005B5159">
      <w:pPr>
        <w:jc w:val="both"/>
        <w:rPr>
          <w:highlight w:val="yellow"/>
          <w:lang w:val="es-CO"/>
        </w:rPr>
      </w:pPr>
      <w:r w:rsidRPr="006D77C0">
        <w:rPr>
          <w:lang w:val="es-CO"/>
        </w:rPr>
        <w:lastRenderedPageBreak/>
        <w:t xml:space="preserve">A semana epidemiológica </w:t>
      </w:r>
      <w:r w:rsidR="0099468D" w:rsidRPr="006D77C0">
        <w:rPr>
          <w:lang w:val="es-CO"/>
        </w:rPr>
        <w:t>2</w:t>
      </w:r>
      <w:r w:rsidR="006D77C0" w:rsidRPr="006D77C0">
        <w:rPr>
          <w:lang w:val="es-CO"/>
        </w:rPr>
        <w:t>5</w:t>
      </w:r>
      <w:r w:rsidRPr="006D77C0">
        <w:rPr>
          <w:lang w:val="es-CO"/>
        </w:rPr>
        <w:t xml:space="preserve"> de 2023</w:t>
      </w:r>
      <w:r w:rsidRPr="00627F75">
        <w:rPr>
          <w:lang w:val="es-CO"/>
        </w:rPr>
        <w:t>, l</w:t>
      </w:r>
      <w:r w:rsidR="00502850" w:rsidRPr="00627F75">
        <w:rPr>
          <w:lang w:val="es-CO"/>
        </w:rPr>
        <w:t>a incidencia nacional de dengue</w:t>
      </w:r>
      <w:r w:rsidR="00F41E4D" w:rsidRPr="00627F75">
        <w:rPr>
          <w:lang w:val="es-CO"/>
        </w:rPr>
        <w:t xml:space="preserve"> </w:t>
      </w:r>
      <w:r w:rsidR="00502850" w:rsidRPr="00627F75">
        <w:rPr>
          <w:lang w:val="es-CO"/>
        </w:rPr>
        <w:t xml:space="preserve">es de </w:t>
      </w:r>
      <w:r w:rsidR="00627F75" w:rsidRPr="00627F75">
        <w:rPr>
          <w:lang w:val="es-CO"/>
        </w:rPr>
        <w:t>143,4</w:t>
      </w:r>
      <w:r w:rsidR="0001703B" w:rsidRPr="00627F75">
        <w:rPr>
          <w:lang w:val="es-CO"/>
        </w:rPr>
        <w:t xml:space="preserve"> </w:t>
      </w:r>
      <w:r w:rsidR="00502850" w:rsidRPr="00627F75">
        <w:rPr>
          <w:lang w:val="es-CO"/>
        </w:rPr>
        <w:t xml:space="preserve">casos por cada </w:t>
      </w:r>
      <w:r w:rsidR="00DA536B" w:rsidRPr="00627F75">
        <w:rPr>
          <w:lang w:val="es-CO"/>
        </w:rPr>
        <w:t>100 </w:t>
      </w:r>
      <w:r w:rsidR="00502850" w:rsidRPr="00627F75">
        <w:rPr>
          <w:lang w:val="es-CO"/>
        </w:rPr>
        <w:t>000 habitantes en ries</w:t>
      </w:r>
      <w:r w:rsidR="00502850" w:rsidRPr="002B0D5F">
        <w:rPr>
          <w:lang w:val="es-CO"/>
        </w:rPr>
        <w:t>go</w:t>
      </w:r>
      <w:r w:rsidR="005B5159" w:rsidRPr="002B0D5F">
        <w:rPr>
          <w:lang w:val="es-CO"/>
        </w:rPr>
        <w:t>;</w:t>
      </w:r>
      <w:r w:rsidR="00E440A2" w:rsidRPr="002B0D5F">
        <w:rPr>
          <w:lang w:val="es-CO"/>
        </w:rPr>
        <w:t xml:space="preserve"> </w:t>
      </w:r>
      <w:r w:rsidR="00D54384" w:rsidRPr="002B0D5F">
        <w:rPr>
          <w:lang w:val="es-CO"/>
        </w:rPr>
        <w:t xml:space="preserve">para el mismo periodo de 2022 la incidencia fue de </w:t>
      </w:r>
      <w:r w:rsidR="002B0D5F" w:rsidRPr="002B0D5F">
        <w:rPr>
          <w:lang w:val="es-CO"/>
        </w:rPr>
        <w:t>83,0</w:t>
      </w:r>
      <w:r w:rsidR="00D54384" w:rsidRPr="002B0D5F">
        <w:rPr>
          <w:lang w:val="es-CO"/>
        </w:rPr>
        <w:t xml:space="preserve"> casos por 100 000 habitantes</w:t>
      </w:r>
      <w:r w:rsidR="005B5159" w:rsidRPr="002B0D5F">
        <w:rPr>
          <w:lang w:val="es-CO"/>
        </w:rPr>
        <w:t>.</w:t>
      </w:r>
      <w:r w:rsidR="00502850" w:rsidRPr="002B0D5F">
        <w:rPr>
          <w:lang w:val="es-CO"/>
        </w:rPr>
        <w:t xml:space="preserve"> </w:t>
      </w:r>
      <w:r w:rsidR="00CC1A86" w:rsidRPr="002B0D5F">
        <w:rPr>
          <w:lang w:val="es-CO"/>
        </w:rPr>
        <w:t>De</w:t>
      </w:r>
      <w:r w:rsidR="00CC1A86" w:rsidRPr="00D07D65">
        <w:rPr>
          <w:lang w:val="es-CO"/>
        </w:rPr>
        <w:t xml:space="preserve"> las 38 entidades territoriales departamentales y distritales </w:t>
      </w:r>
      <w:r w:rsidR="00EB2D92" w:rsidRPr="00D07D65">
        <w:rPr>
          <w:lang w:val="es-CO"/>
        </w:rPr>
        <w:t xml:space="preserve">de Colombia, Bogotá </w:t>
      </w:r>
      <w:r w:rsidR="0044711F" w:rsidRPr="00D07D65">
        <w:rPr>
          <w:lang w:val="es-CO"/>
        </w:rPr>
        <w:t xml:space="preserve">es la única entidad sin </w:t>
      </w:r>
      <w:r w:rsidR="00962CBD" w:rsidRPr="00D07D65">
        <w:rPr>
          <w:lang w:val="es-CO"/>
        </w:rPr>
        <w:t xml:space="preserve">población a riesgo para el evento. </w:t>
      </w:r>
      <w:r w:rsidR="00EA2CB7" w:rsidRPr="00D07D65">
        <w:rPr>
          <w:lang w:val="es-CO"/>
        </w:rPr>
        <w:t>Las entidades territoriales de</w:t>
      </w:r>
      <w:r w:rsidR="00962CBD" w:rsidRPr="00D07D65">
        <w:rPr>
          <w:lang w:val="es-CO"/>
        </w:rPr>
        <w:t xml:space="preserve"> </w:t>
      </w:r>
      <w:r w:rsidR="00CB1FCD" w:rsidRPr="00D07D65">
        <w:rPr>
          <w:lang w:val="es-CO"/>
        </w:rPr>
        <w:t xml:space="preserve">Amazonas, </w:t>
      </w:r>
      <w:r w:rsidR="005E5A75" w:rsidRPr="00D07D65">
        <w:rPr>
          <w:lang w:val="es-CO"/>
        </w:rPr>
        <w:t xml:space="preserve">Vaupés, </w:t>
      </w:r>
      <w:r w:rsidR="00FD2A81" w:rsidRPr="00D07D65">
        <w:rPr>
          <w:lang w:val="es-CO"/>
        </w:rPr>
        <w:t xml:space="preserve">Meta, </w:t>
      </w:r>
      <w:r w:rsidR="00E05733" w:rsidRPr="00D07D65">
        <w:rPr>
          <w:lang w:val="es-CO"/>
        </w:rPr>
        <w:t xml:space="preserve">Guaviare, </w:t>
      </w:r>
      <w:r w:rsidR="00A046A6" w:rsidRPr="00D07D65">
        <w:rPr>
          <w:lang w:val="es-CO"/>
        </w:rPr>
        <w:t xml:space="preserve">Tolima, </w:t>
      </w:r>
      <w:r w:rsidR="004F7711" w:rsidRPr="00D07D65">
        <w:rPr>
          <w:lang w:val="es-CO"/>
        </w:rPr>
        <w:t xml:space="preserve">Caquetá, </w:t>
      </w:r>
      <w:r w:rsidR="004001BC" w:rsidRPr="00D07D65">
        <w:rPr>
          <w:lang w:val="es-CO"/>
        </w:rPr>
        <w:t>Putumayo</w:t>
      </w:r>
      <w:r w:rsidR="00627602" w:rsidRPr="00D07D65">
        <w:rPr>
          <w:lang w:val="es-CO"/>
        </w:rPr>
        <w:t xml:space="preserve"> </w:t>
      </w:r>
      <w:r w:rsidR="002D2941" w:rsidRPr="00D07D65">
        <w:rPr>
          <w:lang w:val="es-CO"/>
        </w:rPr>
        <w:t>y</w:t>
      </w:r>
      <w:r w:rsidR="00994F24" w:rsidRPr="00D07D65">
        <w:rPr>
          <w:lang w:val="es-CO"/>
        </w:rPr>
        <w:t xml:space="preserve"> </w:t>
      </w:r>
      <w:r w:rsidR="004A2D1D" w:rsidRPr="00D07D65">
        <w:rPr>
          <w:lang w:val="es-CO"/>
        </w:rPr>
        <w:t>Cundinamarca</w:t>
      </w:r>
      <w:r w:rsidR="000659FB" w:rsidRPr="00D07D65">
        <w:rPr>
          <w:lang w:val="es-CO"/>
        </w:rPr>
        <w:t xml:space="preserve"> </w:t>
      </w:r>
      <w:r w:rsidR="008756C3" w:rsidRPr="00D07D65">
        <w:rPr>
          <w:lang w:val="es-CO"/>
        </w:rPr>
        <w:t>persisten con las mayores incidencias registrando</w:t>
      </w:r>
      <w:r w:rsidR="009532A2" w:rsidRPr="00D07D65">
        <w:rPr>
          <w:lang w:val="es-CO"/>
        </w:rPr>
        <w:t xml:space="preserve"> </w:t>
      </w:r>
      <w:r w:rsidR="00502850" w:rsidRPr="00D07D65">
        <w:rPr>
          <w:lang w:val="es-CO"/>
        </w:rPr>
        <w:t xml:space="preserve">tasas superiores a </w:t>
      </w:r>
      <w:r w:rsidR="00627602" w:rsidRPr="00D07D65">
        <w:rPr>
          <w:lang w:val="es-CO"/>
        </w:rPr>
        <w:t>2</w:t>
      </w:r>
      <w:r w:rsidR="00D07D65" w:rsidRPr="00D07D65">
        <w:rPr>
          <w:lang w:val="es-CO"/>
        </w:rPr>
        <w:t>6</w:t>
      </w:r>
      <w:r w:rsidR="00627602" w:rsidRPr="00D07D65">
        <w:rPr>
          <w:lang w:val="es-CO"/>
        </w:rPr>
        <w:t>0</w:t>
      </w:r>
      <w:r w:rsidR="0044639A" w:rsidRPr="00D07D65">
        <w:rPr>
          <w:lang w:val="es-CO"/>
        </w:rPr>
        <w:t xml:space="preserve"> </w:t>
      </w:r>
      <w:r w:rsidR="00502850" w:rsidRPr="00D07D65">
        <w:rPr>
          <w:lang w:val="es-CO"/>
        </w:rPr>
        <w:t xml:space="preserve">casos por </w:t>
      </w:r>
      <w:r w:rsidR="00DA536B" w:rsidRPr="00D07D65">
        <w:rPr>
          <w:lang w:val="es-CO"/>
        </w:rPr>
        <w:t>100 </w:t>
      </w:r>
      <w:r w:rsidR="00502850" w:rsidRPr="00D07D65">
        <w:rPr>
          <w:lang w:val="es-CO"/>
        </w:rPr>
        <w:t xml:space="preserve">000 habitantes </w:t>
      </w:r>
      <w:r w:rsidR="001C755E" w:rsidRPr="00D07D65">
        <w:rPr>
          <w:lang w:val="es-CO"/>
        </w:rPr>
        <w:t xml:space="preserve">(figura </w:t>
      </w:r>
      <w:r w:rsidR="00740CBF" w:rsidRPr="00D07D65">
        <w:rPr>
          <w:lang w:val="es-CO"/>
        </w:rPr>
        <w:t>1</w:t>
      </w:r>
      <w:r w:rsidR="001C755E" w:rsidRPr="00D07D65">
        <w:rPr>
          <w:lang w:val="es-CO"/>
        </w:rPr>
        <w:t>).</w:t>
      </w:r>
      <w:r w:rsidR="00470EA5" w:rsidRPr="00D07D65">
        <w:rPr>
          <w:lang w:val="es-CO"/>
        </w:rPr>
        <w:t xml:space="preserve"> </w:t>
      </w:r>
    </w:p>
    <w:p w14:paraId="390CAE01" w14:textId="7742D7EC" w:rsidR="003C4F79" w:rsidRPr="008B79C0" w:rsidRDefault="000F58DC" w:rsidP="003C4F79">
      <w:pPr>
        <w:spacing w:after="0"/>
        <w:jc w:val="center"/>
        <w:rPr>
          <w:sz w:val="20"/>
          <w:szCs w:val="20"/>
        </w:rPr>
      </w:pPr>
      <w:r w:rsidRPr="008B79C0">
        <w:rPr>
          <w:sz w:val="20"/>
          <w:szCs w:val="20"/>
          <w:lang w:val="es-CO"/>
        </w:rPr>
        <w:t xml:space="preserve">Figura 1. </w:t>
      </w:r>
      <w:r w:rsidR="00E950DE" w:rsidRPr="008B79C0">
        <w:rPr>
          <w:sz w:val="20"/>
          <w:szCs w:val="20"/>
        </w:rPr>
        <w:t xml:space="preserve">Incidencia de dengue por entidad territorial de procedencia en Colombia, </w:t>
      </w:r>
      <w:r w:rsidR="003C4F79" w:rsidRPr="008B79C0">
        <w:rPr>
          <w:sz w:val="20"/>
          <w:szCs w:val="20"/>
        </w:rPr>
        <w:t xml:space="preserve">semanas epidemiológicas 01 a </w:t>
      </w:r>
      <w:r w:rsidR="00F2093B" w:rsidRPr="008B79C0">
        <w:rPr>
          <w:sz w:val="20"/>
          <w:szCs w:val="20"/>
        </w:rPr>
        <w:t>2</w:t>
      </w:r>
      <w:r w:rsidR="008B79C0" w:rsidRPr="008B79C0">
        <w:rPr>
          <w:sz w:val="20"/>
          <w:szCs w:val="20"/>
        </w:rPr>
        <w:t>5</w:t>
      </w:r>
      <w:r w:rsidR="003C4F79" w:rsidRPr="008B79C0">
        <w:rPr>
          <w:sz w:val="20"/>
          <w:szCs w:val="20"/>
        </w:rPr>
        <w:t xml:space="preserve"> de 2023</w:t>
      </w:r>
    </w:p>
    <w:p w14:paraId="56CE830B" w14:textId="45547A4A" w:rsidR="00DD5184" w:rsidRPr="005157F6" w:rsidRDefault="00E44561" w:rsidP="003C4F79">
      <w:pPr>
        <w:spacing w:after="0"/>
        <w:jc w:val="center"/>
        <w:rPr>
          <w:sz w:val="20"/>
          <w:szCs w:val="20"/>
        </w:rPr>
      </w:pPr>
      <w:r w:rsidRPr="0085319E">
        <w:rPr>
          <w:rFonts w:ascii="Tahoma" w:hAnsi="Tahoma" w:cs="Tahoma"/>
          <w:noProof/>
          <w:color w:val="000000"/>
          <w:sz w:val="18"/>
          <w:highlight w:val="yellow"/>
        </w:rPr>
        <w:drawing>
          <wp:anchor distT="0" distB="0" distL="114300" distR="114300" simplePos="0" relativeHeight="251668480" behindDoc="0" locked="0" layoutInCell="1" allowOverlap="1" wp14:anchorId="4B759D30" wp14:editId="3A1C1F4A">
            <wp:simplePos x="0" y="0"/>
            <wp:positionH relativeFrom="margin">
              <wp:posOffset>2066719</wp:posOffset>
            </wp:positionH>
            <wp:positionV relativeFrom="paragraph">
              <wp:posOffset>104792</wp:posOffset>
            </wp:positionV>
            <wp:extent cx="1927654" cy="1988185"/>
            <wp:effectExtent l="0" t="0" r="0" b="0"/>
            <wp:wrapNone/>
            <wp:docPr id="13833543" name="Imagen 138335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/>
                  </pic:nvPicPr>
                  <pic:blipFill rotWithShape="1">
                    <a:blip r:embed="rId9" cstate="print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02" t="23219" r="35086" b="22069"/>
                    <a:stretch/>
                  </pic:blipFill>
                  <pic:spPr>
                    <a:xfrm>
                      <a:off x="0" y="0"/>
                      <a:ext cx="1932592" cy="19932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57F6" w:rsidRPr="005157F6">
        <w:rPr>
          <w:noProof/>
        </w:rPr>
        <w:drawing>
          <wp:inline distT="0" distB="0" distL="0" distR="0" wp14:anchorId="54E43F0D" wp14:editId="4EBE9D32">
            <wp:extent cx="5612130" cy="2988945"/>
            <wp:effectExtent l="0" t="0" r="7620" b="1905"/>
            <wp:docPr id="2010148545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687587C-37D8-42F4-BAD7-8ED5430EF5C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FC6921" w:rsidRPr="005157F6">
        <w:rPr>
          <w:noProof/>
        </w:rPr>
        <w:t xml:space="preserve"> </w:t>
      </w:r>
    </w:p>
    <w:p w14:paraId="5387D203" w14:textId="04C433F0" w:rsidR="00606F42" w:rsidRPr="005157F6" w:rsidRDefault="00606F42" w:rsidP="00524266">
      <w:pPr>
        <w:pStyle w:val="Piedeayudavisual"/>
      </w:pPr>
      <w:r w:rsidRPr="005157F6">
        <w:t>Fuente: Sivigila, Instituto Nacional de Salud, Colombia, 2023</w:t>
      </w:r>
    </w:p>
    <w:p w14:paraId="06624859" w14:textId="03443F76" w:rsidR="00803A1D" w:rsidRPr="005157F6" w:rsidRDefault="00E73E4F" w:rsidP="009323AE">
      <w:pPr>
        <w:jc w:val="both"/>
      </w:pPr>
      <w:r w:rsidRPr="005157F6">
        <w:t xml:space="preserve">A semana epidemiológica </w:t>
      </w:r>
      <w:r w:rsidR="00684095" w:rsidRPr="005157F6">
        <w:t>2</w:t>
      </w:r>
      <w:r w:rsidR="005157F6" w:rsidRPr="005157F6">
        <w:t>5</w:t>
      </w:r>
      <w:r w:rsidRPr="005157F6">
        <w:t xml:space="preserve"> de 202</w:t>
      </w:r>
      <w:r w:rsidR="00761F43" w:rsidRPr="005157F6">
        <w:t>3</w:t>
      </w:r>
      <w:r w:rsidRPr="005157F6">
        <w:t>,</w:t>
      </w:r>
      <w:r w:rsidR="002B4DC2" w:rsidRPr="005157F6">
        <w:t xml:space="preserve"> el evento </w:t>
      </w:r>
      <w:r w:rsidR="00C3615B" w:rsidRPr="005157F6">
        <w:t xml:space="preserve">a nivel nacional </w:t>
      </w:r>
      <w:r w:rsidR="005E71CD" w:rsidRPr="005157F6">
        <w:t xml:space="preserve">según </w:t>
      </w:r>
      <w:r w:rsidR="00116698" w:rsidRPr="005157F6">
        <w:t xml:space="preserve">el </w:t>
      </w:r>
      <w:r w:rsidR="005E71CD" w:rsidRPr="005157F6">
        <w:t xml:space="preserve">canal endémico </w:t>
      </w:r>
      <w:r w:rsidR="002445C7" w:rsidRPr="005157F6">
        <w:t xml:space="preserve">se </w:t>
      </w:r>
      <w:r w:rsidR="00E02D03" w:rsidRPr="005157F6">
        <w:t xml:space="preserve">mantiene </w:t>
      </w:r>
      <w:r w:rsidR="00E02D03" w:rsidRPr="005157F6">
        <w:rPr>
          <w:i/>
          <w:iCs/>
        </w:rPr>
        <w:t xml:space="preserve">por encima </w:t>
      </w:r>
      <w:r w:rsidR="00433758" w:rsidRPr="005157F6">
        <w:rPr>
          <w:i/>
          <w:iCs/>
        </w:rPr>
        <w:t>de lo</w:t>
      </w:r>
      <w:r w:rsidR="00E02D03" w:rsidRPr="005157F6">
        <w:rPr>
          <w:i/>
          <w:iCs/>
        </w:rPr>
        <w:t xml:space="preserve"> esperado</w:t>
      </w:r>
      <w:r w:rsidR="002B4DC2" w:rsidRPr="005157F6">
        <w:rPr>
          <w:i/>
          <w:iCs/>
        </w:rPr>
        <w:t>,</w:t>
      </w:r>
      <w:r w:rsidR="002B4DC2" w:rsidRPr="005157F6">
        <w:t xml:space="preserve"> comparado con su comportamiento histórico</w:t>
      </w:r>
      <w:r w:rsidR="00803A1D" w:rsidRPr="005157F6">
        <w:t xml:space="preserve"> (figura 2)</w:t>
      </w:r>
    </w:p>
    <w:p w14:paraId="130F0AE4" w14:textId="6D51E0EC" w:rsidR="00E950DE" w:rsidRPr="005157F6" w:rsidRDefault="009903DF" w:rsidP="00E950DE">
      <w:pPr>
        <w:spacing w:after="0"/>
        <w:jc w:val="center"/>
        <w:rPr>
          <w:sz w:val="20"/>
          <w:szCs w:val="20"/>
        </w:rPr>
      </w:pPr>
      <w:r w:rsidRPr="005157F6">
        <w:rPr>
          <w:sz w:val="20"/>
          <w:szCs w:val="20"/>
          <w:lang w:val="es-CO"/>
        </w:rPr>
        <w:t xml:space="preserve">Figura 2. </w:t>
      </w:r>
      <w:r w:rsidR="00B84EA9" w:rsidRPr="005157F6">
        <w:rPr>
          <w:sz w:val="20"/>
          <w:szCs w:val="20"/>
        </w:rPr>
        <w:t>Canal endémico nacional de dengue en Colombia,</w:t>
      </w:r>
      <w:r w:rsidR="003C4F79" w:rsidRPr="005157F6">
        <w:rPr>
          <w:sz w:val="20"/>
          <w:szCs w:val="20"/>
        </w:rPr>
        <w:t xml:space="preserve"> semanas epidemiológicas 01 a </w:t>
      </w:r>
      <w:r w:rsidR="00684095" w:rsidRPr="005157F6">
        <w:rPr>
          <w:sz w:val="20"/>
          <w:szCs w:val="20"/>
        </w:rPr>
        <w:t>2</w:t>
      </w:r>
      <w:r w:rsidR="005157F6" w:rsidRPr="005157F6">
        <w:rPr>
          <w:sz w:val="20"/>
          <w:szCs w:val="20"/>
        </w:rPr>
        <w:t>5</w:t>
      </w:r>
      <w:r w:rsidR="003C4F79" w:rsidRPr="005157F6">
        <w:rPr>
          <w:sz w:val="20"/>
          <w:szCs w:val="20"/>
        </w:rPr>
        <w:t xml:space="preserve"> de 2023</w:t>
      </w:r>
    </w:p>
    <w:p w14:paraId="61EA6B5E" w14:textId="77777777" w:rsidR="00737CAF" w:rsidRPr="0085319E" w:rsidRDefault="00737CAF" w:rsidP="00E950DE">
      <w:pPr>
        <w:spacing w:after="0"/>
        <w:jc w:val="center"/>
        <w:rPr>
          <w:sz w:val="20"/>
          <w:szCs w:val="20"/>
          <w:highlight w:val="yellow"/>
        </w:rPr>
      </w:pPr>
    </w:p>
    <w:p w14:paraId="4C5536FC" w14:textId="4A7C91D5" w:rsidR="00737CAF" w:rsidRPr="006C3F51" w:rsidRDefault="00737CAF" w:rsidP="00E950DE">
      <w:pPr>
        <w:spacing w:after="0"/>
        <w:jc w:val="center"/>
        <w:rPr>
          <w:noProof/>
          <w:sz w:val="20"/>
          <w:szCs w:val="20"/>
        </w:rPr>
      </w:pPr>
      <w:r w:rsidRPr="0085319E">
        <w:rPr>
          <w:rFonts w:ascii="Tahoma" w:hAnsi="Tahoma" w:cs="Tahoma"/>
          <w:noProof/>
          <w:color w:val="000000"/>
          <w:sz w:val="18"/>
          <w:highlight w:val="yellow"/>
        </w:rPr>
        <w:lastRenderedPageBreak/>
        <w:drawing>
          <wp:anchor distT="0" distB="0" distL="114300" distR="114300" simplePos="0" relativeHeight="251662336" behindDoc="0" locked="0" layoutInCell="1" allowOverlap="1" wp14:anchorId="7F6189B8" wp14:editId="46851AC4">
            <wp:simplePos x="0" y="0"/>
            <wp:positionH relativeFrom="margin">
              <wp:posOffset>2110740</wp:posOffset>
            </wp:positionH>
            <wp:positionV relativeFrom="paragraph">
              <wp:posOffset>170815</wp:posOffset>
            </wp:positionV>
            <wp:extent cx="1979407" cy="1988704"/>
            <wp:effectExtent l="0" t="0" r="1905" b="0"/>
            <wp:wrapNone/>
            <wp:docPr id="3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/>
                  </pic:nvPicPr>
                  <pic:blipFill rotWithShape="1">
                    <a:blip r:embed="rId9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02" t="23219" r="35086" b="22069"/>
                    <a:stretch/>
                  </pic:blipFill>
                  <pic:spPr>
                    <a:xfrm>
                      <a:off x="0" y="0"/>
                      <a:ext cx="1979407" cy="1988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3F51" w:rsidRPr="006C3F51">
        <w:rPr>
          <w:noProof/>
        </w:rPr>
        <w:drawing>
          <wp:inline distT="0" distB="0" distL="0" distR="0" wp14:anchorId="27F36CFA" wp14:editId="2DBEAC83">
            <wp:extent cx="5612130" cy="2812415"/>
            <wp:effectExtent l="0" t="0" r="7620" b="6985"/>
            <wp:docPr id="315220702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BDDB3210-D318-487E-AD0C-AC9A1933B6D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500F76F" w14:textId="41B33F31" w:rsidR="00B84EA9" w:rsidRPr="006C3F51" w:rsidRDefault="00B84EA9" w:rsidP="00524266">
      <w:pPr>
        <w:pStyle w:val="Piedeayudavisual"/>
      </w:pPr>
      <w:r w:rsidRPr="006C3F51">
        <w:t>Fuente: Sivigila, Instituto Nacional de Salud, Colombia, 202</w:t>
      </w:r>
      <w:r w:rsidR="00910D08" w:rsidRPr="006C3F51">
        <w:t>3</w:t>
      </w:r>
    </w:p>
    <w:p w14:paraId="2D3F210A" w14:textId="1CBC4568" w:rsidR="003D4045" w:rsidRPr="0085319E" w:rsidRDefault="005A5CF4" w:rsidP="00457260">
      <w:pPr>
        <w:jc w:val="both"/>
        <w:rPr>
          <w:highlight w:val="yellow"/>
        </w:rPr>
      </w:pPr>
      <w:r w:rsidRPr="00D06CFB">
        <w:t xml:space="preserve">De acuerdo </w:t>
      </w:r>
      <w:r w:rsidR="000F4DD1" w:rsidRPr="00D06CFB">
        <w:t xml:space="preserve">con </w:t>
      </w:r>
      <w:r w:rsidRPr="00D06CFB">
        <w:t>l</w:t>
      </w:r>
      <w:r w:rsidR="003D4045" w:rsidRPr="00D06CFB">
        <w:t>a situación epidemiológica</w:t>
      </w:r>
      <w:r w:rsidR="00AF1D8A" w:rsidRPr="00D06CFB">
        <w:t xml:space="preserve"> por entidad territorial departamental y distrital</w:t>
      </w:r>
      <w:r w:rsidR="00837FC8" w:rsidRPr="00D06CFB">
        <w:t xml:space="preserve"> en riesgo para dengue</w:t>
      </w:r>
      <w:r w:rsidR="00AF1D8A" w:rsidRPr="00D06CFB">
        <w:t xml:space="preserve"> </w:t>
      </w:r>
      <w:r w:rsidR="0028774E" w:rsidRPr="00D06CFB">
        <w:t xml:space="preserve">según canal endémico </w:t>
      </w:r>
      <w:r w:rsidR="00AF1D8A" w:rsidRPr="00D06CFB">
        <w:t>se observa que</w:t>
      </w:r>
      <w:r w:rsidR="00C529B0" w:rsidRPr="00D06CFB">
        <w:t xml:space="preserve"> </w:t>
      </w:r>
      <w:r w:rsidR="00A412A8" w:rsidRPr="00D06CFB">
        <w:t xml:space="preserve">el </w:t>
      </w:r>
      <w:r w:rsidR="00D06CFB" w:rsidRPr="00D06CFB">
        <w:t>2,7</w:t>
      </w:r>
      <w:r w:rsidR="00B919C5" w:rsidRPr="00D06CFB">
        <w:t> </w:t>
      </w:r>
      <w:r w:rsidR="00470BCA" w:rsidRPr="00D06CFB">
        <w:t>% (</w:t>
      </w:r>
      <w:r w:rsidR="00F21F1E" w:rsidRPr="00D06CFB">
        <w:t>1</w:t>
      </w:r>
      <w:r w:rsidR="00470BCA" w:rsidRPr="00D06CFB">
        <w:t xml:space="preserve">) </w:t>
      </w:r>
      <w:r w:rsidR="00B70466" w:rsidRPr="00D06CFB">
        <w:t xml:space="preserve">de las entidades </w:t>
      </w:r>
      <w:r w:rsidR="00D107A1" w:rsidRPr="00D06CFB">
        <w:t xml:space="preserve">se encuentra </w:t>
      </w:r>
      <w:r w:rsidR="00470BCA" w:rsidRPr="00D06CFB">
        <w:rPr>
          <w:i/>
          <w:iCs/>
        </w:rPr>
        <w:t>dentro de lo esperado</w:t>
      </w:r>
      <w:r w:rsidR="00BE2C22" w:rsidRPr="00D06CFB">
        <w:t>;</w:t>
      </w:r>
      <w:r w:rsidR="00B70466" w:rsidRPr="00D06CFB">
        <w:t xml:space="preserve"> el</w:t>
      </w:r>
      <w:r w:rsidR="00470BCA" w:rsidRPr="00D06CFB">
        <w:t xml:space="preserve"> </w:t>
      </w:r>
      <w:r w:rsidR="00C02D96" w:rsidRPr="00D06CFB">
        <w:t>16,2</w:t>
      </w:r>
      <w:r w:rsidR="008402CE" w:rsidRPr="00D06CFB">
        <w:t> </w:t>
      </w:r>
      <w:r w:rsidR="00437F19" w:rsidRPr="00D06CFB">
        <w:t>% (</w:t>
      </w:r>
      <w:r w:rsidR="00F21F1E" w:rsidRPr="00D06CFB">
        <w:t>6</w:t>
      </w:r>
      <w:r w:rsidR="00437F19" w:rsidRPr="00D06CFB">
        <w:t xml:space="preserve">) </w:t>
      </w:r>
      <w:r w:rsidR="003D4045" w:rsidRPr="00D06CFB">
        <w:t xml:space="preserve">se encuentran en situación de </w:t>
      </w:r>
      <w:r w:rsidR="003D4045" w:rsidRPr="00D06CFB">
        <w:rPr>
          <w:i/>
        </w:rPr>
        <w:t>alerta</w:t>
      </w:r>
      <w:r w:rsidR="003D4045" w:rsidRPr="00D06CFB">
        <w:t xml:space="preserve"> y </w:t>
      </w:r>
      <w:r w:rsidR="00437F19" w:rsidRPr="00D06CFB">
        <w:t xml:space="preserve">el </w:t>
      </w:r>
      <w:r w:rsidR="00541ED9" w:rsidRPr="00D06CFB">
        <w:t>8</w:t>
      </w:r>
      <w:r w:rsidR="00C02D96" w:rsidRPr="00D06CFB">
        <w:t>1</w:t>
      </w:r>
      <w:r w:rsidR="00541ED9" w:rsidRPr="00D06CFB">
        <w:t>,</w:t>
      </w:r>
      <w:r w:rsidR="00C02D96" w:rsidRPr="00D06CFB">
        <w:t>1</w:t>
      </w:r>
      <w:r w:rsidR="008402CE" w:rsidRPr="00D06CFB">
        <w:t> </w:t>
      </w:r>
      <w:r w:rsidR="00437F19" w:rsidRPr="00D06CFB">
        <w:t>% (</w:t>
      </w:r>
      <w:r w:rsidR="00BA5E40" w:rsidRPr="00D06CFB">
        <w:t>3</w:t>
      </w:r>
      <w:r w:rsidR="00F21F1E" w:rsidRPr="00D06CFB">
        <w:t>0</w:t>
      </w:r>
      <w:r w:rsidR="00437F19" w:rsidRPr="00D06CFB">
        <w:t>)</w:t>
      </w:r>
      <w:r w:rsidR="00D357DE" w:rsidRPr="00D06CFB">
        <w:t xml:space="preserve"> </w:t>
      </w:r>
      <w:r w:rsidR="00895682" w:rsidRPr="00D06CFB">
        <w:t xml:space="preserve">se encuentran </w:t>
      </w:r>
      <w:r w:rsidR="0028774E" w:rsidRPr="00D06CFB">
        <w:t xml:space="preserve">por </w:t>
      </w:r>
      <w:r w:rsidR="0028774E" w:rsidRPr="00D06CFB">
        <w:rPr>
          <w:i/>
          <w:iCs/>
        </w:rPr>
        <w:t xml:space="preserve">encima </w:t>
      </w:r>
      <w:r w:rsidR="00433758" w:rsidRPr="00D06CFB">
        <w:rPr>
          <w:i/>
          <w:iCs/>
        </w:rPr>
        <w:t>de</w:t>
      </w:r>
      <w:r w:rsidR="00C910AB" w:rsidRPr="00D06CFB">
        <w:rPr>
          <w:i/>
          <w:iCs/>
        </w:rPr>
        <w:t>l límite superior</w:t>
      </w:r>
      <w:r w:rsidR="00433758" w:rsidRPr="00D06CFB">
        <w:rPr>
          <w:i/>
          <w:iCs/>
        </w:rPr>
        <w:t xml:space="preserve"> lo</w:t>
      </w:r>
      <w:r w:rsidR="0028774E" w:rsidRPr="00D06CFB">
        <w:rPr>
          <w:i/>
          <w:iCs/>
        </w:rPr>
        <w:t xml:space="preserve"> esperado</w:t>
      </w:r>
      <w:r w:rsidR="003D4045" w:rsidRPr="00D06CFB">
        <w:t>, comparado con el comportamiento histórico</w:t>
      </w:r>
      <w:r w:rsidR="00D06F1D" w:rsidRPr="00D06CFB">
        <w:t xml:space="preserve"> (</w:t>
      </w:r>
      <w:r w:rsidR="00D65376" w:rsidRPr="00D06CFB">
        <w:t>figura 3</w:t>
      </w:r>
      <w:r w:rsidR="00D06F1D" w:rsidRPr="00D06CFB">
        <w:t>).</w:t>
      </w:r>
      <w:r w:rsidR="00462951" w:rsidRPr="00D06CFB">
        <w:t xml:space="preserve"> </w:t>
      </w:r>
      <w:r w:rsidR="005816D2" w:rsidRPr="00D06CFB">
        <w:t>Ante la situación observada a nivel nacional y departamental</w:t>
      </w:r>
      <w:r w:rsidR="009440B8" w:rsidRPr="00D06CFB">
        <w:t>,</w:t>
      </w:r>
      <w:r w:rsidR="00E440A2" w:rsidRPr="00D06CFB">
        <w:t xml:space="preserve"> se activ</w:t>
      </w:r>
      <w:r w:rsidR="00504824" w:rsidRPr="00D06CFB">
        <w:t>ó</w:t>
      </w:r>
      <w:r w:rsidR="00E440A2" w:rsidRPr="00D06CFB">
        <w:t xml:space="preserve"> el Comité Estratégico en Salud a nivel nacional y se determina</w:t>
      </w:r>
      <w:r w:rsidR="00504824" w:rsidRPr="00D06CFB">
        <w:t>ron</w:t>
      </w:r>
      <w:r w:rsidR="00E440A2" w:rsidRPr="00D06CFB">
        <w:t xml:space="preserve"> medidas por parte del Ministerio de Salud y Protección Social.</w:t>
      </w:r>
    </w:p>
    <w:p w14:paraId="473FD1FE" w14:textId="481A13F5" w:rsidR="00816644" w:rsidRPr="00A92030" w:rsidRDefault="00816644" w:rsidP="00816644">
      <w:pPr>
        <w:pStyle w:val="Ttuloayudavisual"/>
      </w:pPr>
      <w:r w:rsidRPr="00A92030">
        <w:t>Figura 3. Entidades territoriales por encima de lo esperado</w:t>
      </w:r>
      <w:r w:rsidR="0094755E" w:rsidRPr="00A92030">
        <w:t xml:space="preserve"> para dengue</w:t>
      </w:r>
      <w:r w:rsidRPr="00A92030">
        <w:t xml:space="preserve">, Colombia, semana epidemiológica </w:t>
      </w:r>
      <w:r w:rsidR="000352BF" w:rsidRPr="00A92030">
        <w:t>2</w:t>
      </w:r>
      <w:r w:rsidR="006C3F51" w:rsidRPr="00A92030">
        <w:t>5</w:t>
      </w:r>
      <w:r w:rsidRPr="00A92030">
        <w:t>, 2023</w:t>
      </w:r>
    </w:p>
    <w:p w14:paraId="60C3100C" w14:textId="3448A948" w:rsidR="004D5A9C" w:rsidRPr="00A92030" w:rsidRDefault="00A92030" w:rsidP="00BA56AE">
      <w:pPr>
        <w:pStyle w:val="Ttuloayudavisual"/>
        <w:rPr>
          <w:noProof/>
        </w:rPr>
      </w:pPr>
      <w:r w:rsidRPr="00A92030">
        <w:rPr>
          <w:noProof/>
        </w:rPr>
        <w:drawing>
          <wp:inline distT="0" distB="0" distL="0" distR="0" wp14:anchorId="6292FE3E" wp14:editId="68AE420A">
            <wp:extent cx="5375868" cy="3155315"/>
            <wp:effectExtent l="0" t="0" r="0" b="6985"/>
            <wp:docPr id="1878980384" name="Imagen 1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980384" name="Imagen 1" descr="Gráfico&#10;&#10;Descripción generada automáticamente"/>
                    <pic:cNvPicPr/>
                  </pic:nvPicPr>
                  <pic:blipFill rotWithShape="1">
                    <a:blip r:embed="rId12"/>
                    <a:srcRect r="4209"/>
                    <a:stretch/>
                  </pic:blipFill>
                  <pic:spPr bwMode="auto">
                    <a:xfrm>
                      <a:off x="0" y="0"/>
                      <a:ext cx="5375868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AA1830" w14:textId="77777777" w:rsidR="00A97ADA" w:rsidRPr="00A92030" w:rsidRDefault="00A97ADA" w:rsidP="00524266">
      <w:pPr>
        <w:pStyle w:val="Piedeayudavisual"/>
      </w:pPr>
      <w:r w:rsidRPr="00A92030">
        <w:t>Fuente: Sivigila, Instituto Nacional de Salud, Colombia, 2023</w:t>
      </w:r>
    </w:p>
    <w:p w14:paraId="0C8ADE7C" w14:textId="27FE40D8" w:rsidR="00B6643C" w:rsidRPr="0085319E" w:rsidRDefault="00863D0A" w:rsidP="005F3F3E">
      <w:pPr>
        <w:jc w:val="both"/>
        <w:rPr>
          <w:highlight w:val="yellow"/>
        </w:rPr>
      </w:pPr>
      <w:r w:rsidRPr="00D06CFB">
        <w:lastRenderedPageBreak/>
        <w:t>P</w:t>
      </w:r>
      <w:r w:rsidR="00AF1D8A" w:rsidRPr="00D06CFB">
        <w:t xml:space="preserve">or entidad territorial municipal, </w:t>
      </w:r>
      <w:r w:rsidR="001A32ED" w:rsidRPr="00D06CFB">
        <w:t>en la</w:t>
      </w:r>
      <w:r w:rsidR="00AF1D8A" w:rsidRPr="00D06CFB">
        <w:t xml:space="preserve"> semana epidemiológica </w:t>
      </w:r>
      <w:r w:rsidR="00BE04E5" w:rsidRPr="00D06CFB">
        <w:t>2</w:t>
      </w:r>
      <w:r w:rsidR="00D06CFB" w:rsidRPr="00D06CFB">
        <w:t>5</w:t>
      </w:r>
      <w:r w:rsidR="00541130" w:rsidRPr="00D06CFB">
        <w:t xml:space="preserve"> de</w:t>
      </w:r>
      <w:r w:rsidR="00AF1D8A" w:rsidRPr="00D06CFB">
        <w:t xml:space="preserve"> 2023 se observ</w:t>
      </w:r>
      <w:r w:rsidR="001A32ED" w:rsidRPr="00D06CFB">
        <w:t>ó</w:t>
      </w:r>
      <w:r w:rsidR="00AF1D8A" w:rsidRPr="00D06CFB">
        <w:t xml:space="preserve"> que</w:t>
      </w:r>
      <w:r w:rsidR="00C31361" w:rsidRPr="00D06CFB">
        <w:t xml:space="preserve"> de</w:t>
      </w:r>
      <w:r w:rsidR="00432668" w:rsidRPr="00D06CFB">
        <w:t xml:space="preserve"> los 82</w:t>
      </w:r>
      <w:r w:rsidR="00A00FDA" w:rsidRPr="00D06CFB">
        <w:t>5</w:t>
      </w:r>
      <w:r w:rsidR="00432668" w:rsidRPr="00D06CFB">
        <w:t xml:space="preserve"> municipios en riesgo</w:t>
      </w:r>
      <w:r w:rsidR="00604F96" w:rsidRPr="00D06CFB">
        <w:t xml:space="preserve"> </w:t>
      </w:r>
      <w:r w:rsidR="00432668" w:rsidRPr="00D06CFB">
        <w:t>para dengue</w:t>
      </w:r>
      <w:r w:rsidR="009F7307" w:rsidRPr="00D06CFB">
        <w:t xml:space="preserve"> en el país</w:t>
      </w:r>
      <w:r w:rsidR="00432668" w:rsidRPr="00D06CFB">
        <w:t xml:space="preserve"> el</w:t>
      </w:r>
      <w:r w:rsidR="002F1B4D" w:rsidRPr="00D06CFB">
        <w:t xml:space="preserve"> </w:t>
      </w:r>
      <w:r w:rsidR="003A5D5B" w:rsidRPr="002C7363">
        <w:t>2</w:t>
      </w:r>
      <w:r w:rsidR="00D1132E" w:rsidRPr="002C7363">
        <w:t>8</w:t>
      </w:r>
      <w:r w:rsidR="003A5D5B" w:rsidRPr="002C7363">
        <w:t>,</w:t>
      </w:r>
      <w:r w:rsidR="002C7363" w:rsidRPr="002C7363">
        <w:t>4</w:t>
      </w:r>
      <w:r w:rsidR="00C31361" w:rsidRPr="002C7363">
        <w:t> % (</w:t>
      </w:r>
      <w:r w:rsidR="00526264" w:rsidRPr="002C7363">
        <w:t>2</w:t>
      </w:r>
      <w:r w:rsidR="008F400D" w:rsidRPr="002C7363">
        <w:t>3</w:t>
      </w:r>
      <w:r w:rsidR="00D83CD4" w:rsidRPr="002C7363">
        <w:t>4</w:t>
      </w:r>
      <w:r w:rsidR="00C31361" w:rsidRPr="002C7363">
        <w:t xml:space="preserve">) </w:t>
      </w:r>
      <w:r w:rsidR="00AF1D8A" w:rsidRPr="002C7363">
        <w:t xml:space="preserve">se </w:t>
      </w:r>
      <w:r w:rsidR="001A32ED" w:rsidRPr="002C7363">
        <w:t>encontraban</w:t>
      </w:r>
      <w:r w:rsidR="00AF1D8A" w:rsidRPr="002C7363">
        <w:t xml:space="preserve"> </w:t>
      </w:r>
      <w:r w:rsidR="008508FF" w:rsidRPr="002C7363">
        <w:rPr>
          <w:i/>
          <w:iCs/>
        </w:rPr>
        <w:t xml:space="preserve">por </w:t>
      </w:r>
      <w:r w:rsidR="008508FF" w:rsidRPr="00816420">
        <w:rPr>
          <w:i/>
          <w:iCs/>
        </w:rPr>
        <w:t xml:space="preserve">encima </w:t>
      </w:r>
      <w:r w:rsidR="009660CA" w:rsidRPr="00816420">
        <w:rPr>
          <w:i/>
          <w:iCs/>
        </w:rPr>
        <w:t>de lo</w:t>
      </w:r>
      <w:r w:rsidR="008508FF" w:rsidRPr="00816420">
        <w:rPr>
          <w:i/>
          <w:iCs/>
        </w:rPr>
        <w:t xml:space="preserve"> esperado</w:t>
      </w:r>
      <w:r w:rsidR="00504824" w:rsidRPr="00816420">
        <w:rPr>
          <w:i/>
          <w:iCs/>
        </w:rPr>
        <w:t>,</w:t>
      </w:r>
      <w:r w:rsidR="008508FF" w:rsidRPr="00816420">
        <w:t xml:space="preserve"> según canal endémico</w:t>
      </w:r>
      <w:r w:rsidR="00AF1D8A" w:rsidRPr="00816420">
        <w:t xml:space="preserve"> para dengue</w:t>
      </w:r>
      <w:r w:rsidR="00096903" w:rsidRPr="00816420">
        <w:t>.</w:t>
      </w:r>
      <w:r w:rsidR="008A7D22" w:rsidRPr="00816420">
        <w:t xml:space="preserve"> De los municipios con población</w:t>
      </w:r>
      <w:r w:rsidR="003A1E43" w:rsidRPr="00816420">
        <w:t xml:space="preserve"> </w:t>
      </w:r>
      <w:r w:rsidR="008A7D22" w:rsidRPr="00816420">
        <w:t>mayor a 100 000 habitantes</w:t>
      </w:r>
      <w:r w:rsidR="004905CF" w:rsidRPr="00816420">
        <w:t xml:space="preserve"> </w:t>
      </w:r>
      <w:r w:rsidR="00581B59" w:rsidRPr="00816420">
        <w:t>en</w:t>
      </w:r>
      <w:r w:rsidR="004905CF" w:rsidRPr="00816420">
        <w:t xml:space="preserve"> riesgo para dengue</w:t>
      </w:r>
      <w:r w:rsidR="00504824" w:rsidRPr="00816420">
        <w:t xml:space="preserve"> </w:t>
      </w:r>
      <w:r w:rsidR="00C166F6" w:rsidRPr="00816420">
        <w:t xml:space="preserve">el </w:t>
      </w:r>
      <w:r w:rsidR="00816420" w:rsidRPr="00816420">
        <w:t>66,7</w:t>
      </w:r>
      <w:r w:rsidR="00203D86" w:rsidRPr="00816420">
        <w:t> </w:t>
      </w:r>
      <w:r w:rsidR="00C166F6" w:rsidRPr="00816420">
        <w:t>%</w:t>
      </w:r>
      <w:r w:rsidR="003A1E43" w:rsidRPr="00816420">
        <w:t xml:space="preserve"> (</w:t>
      </w:r>
      <w:r w:rsidR="009044F0" w:rsidRPr="00816420">
        <w:t>3</w:t>
      </w:r>
      <w:r w:rsidR="002C7363" w:rsidRPr="00816420">
        <w:t>8</w:t>
      </w:r>
      <w:r w:rsidR="00403456" w:rsidRPr="00816420">
        <w:t>/57)</w:t>
      </w:r>
      <w:r w:rsidR="00C166F6" w:rsidRPr="00816420">
        <w:t xml:space="preserve"> se encuentran </w:t>
      </w:r>
      <w:r w:rsidR="00C166F6" w:rsidRPr="00816420">
        <w:rPr>
          <w:i/>
          <w:iCs/>
        </w:rPr>
        <w:t xml:space="preserve">por encima </w:t>
      </w:r>
      <w:r w:rsidR="00433758" w:rsidRPr="00816420">
        <w:rPr>
          <w:i/>
          <w:iCs/>
        </w:rPr>
        <w:t>de lo</w:t>
      </w:r>
      <w:r w:rsidR="00C166F6" w:rsidRPr="00816420">
        <w:rPr>
          <w:i/>
          <w:iCs/>
        </w:rPr>
        <w:t xml:space="preserve"> esperado</w:t>
      </w:r>
      <w:r w:rsidR="00C166F6" w:rsidRPr="00816420">
        <w:t>, comparado con su comportamiento histórico</w:t>
      </w:r>
      <w:r w:rsidR="00403456" w:rsidRPr="00816420">
        <w:t xml:space="preserve"> (</w:t>
      </w:r>
      <w:r w:rsidR="00D65376" w:rsidRPr="00816420">
        <w:t>tabla 3)</w:t>
      </w:r>
      <w:r w:rsidR="00C166F6" w:rsidRPr="00816420">
        <w:t>.</w:t>
      </w:r>
      <w:r w:rsidR="008A7D22" w:rsidRPr="00816420">
        <w:t xml:space="preserve"> </w:t>
      </w:r>
    </w:p>
    <w:p w14:paraId="583A89F8" w14:textId="0C09C822" w:rsidR="0079474C" w:rsidRPr="00861DBC" w:rsidRDefault="0079474C" w:rsidP="0079474C">
      <w:pPr>
        <w:pStyle w:val="Ttuloayudavisual"/>
      </w:pPr>
      <w:r w:rsidRPr="00861DBC">
        <w:t xml:space="preserve">Tabla 3. Municipios </w:t>
      </w:r>
      <w:r w:rsidR="006441D7" w:rsidRPr="00861DBC">
        <w:rPr>
          <w:i/>
          <w:iCs/>
        </w:rPr>
        <w:t xml:space="preserve">por encima </w:t>
      </w:r>
      <w:r w:rsidR="006402DC" w:rsidRPr="00861DBC">
        <w:rPr>
          <w:i/>
          <w:iCs/>
        </w:rPr>
        <w:t>de lo esperado</w:t>
      </w:r>
      <w:r w:rsidR="006402DC" w:rsidRPr="00861DBC">
        <w:t xml:space="preserve"> </w:t>
      </w:r>
      <w:r w:rsidR="00B6643C" w:rsidRPr="00861DBC">
        <w:t>según canal endémico de</w:t>
      </w:r>
      <w:r w:rsidR="00DA0A08" w:rsidRPr="00861DBC">
        <w:t xml:space="preserve"> dengue con población </w:t>
      </w:r>
      <w:r w:rsidR="004905CF" w:rsidRPr="00861DBC">
        <w:t xml:space="preserve">mayor a 100 000 habitantes </w:t>
      </w:r>
      <w:r w:rsidR="00581B59" w:rsidRPr="00861DBC">
        <w:t>en</w:t>
      </w:r>
      <w:r w:rsidR="00DA0A08" w:rsidRPr="00861DBC">
        <w:t xml:space="preserve"> riesgo</w:t>
      </w:r>
      <w:r w:rsidR="004905CF" w:rsidRPr="00861DBC">
        <w:t xml:space="preserve"> para dengue</w:t>
      </w:r>
      <w:r w:rsidRPr="00861DBC">
        <w:t xml:space="preserve">, Colombia, semana epidemiológica </w:t>
      </w:r>
      <w:r w:rsidR="00476A36" w:rsidRPr="00861DBC">
        <w:t>2</w:t>
      </w:r>
      <w:r w:rsidR="00816420" w:rsidRPr="00861DBC">
        <w:t>5</w:t>
      </w:r>
      <w:r w:rsidRPr="00861DBC">
        <w:t xml:space="preserve"> de 2023</w:t>
      </w:r>
    </w:p>
    <w:tbl>
      <w:tblPr>
        <w:tblW w:w="88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273"/>
        <w:gridCol w:w="1707"/>
        <w:gridCol w:w="1111"/>
        <w:gridCol w:w="841"/>
        <w:gridCol w:w="912"/>
        <w:gridCol w:w="1581"/>
      </w:tblGrid>
      <w:tr w:rsidR="00861DBC" w:rsidRPr="00EA30C5" w14:paraId="667F0845" w14:textId="77777777" w:rsidTr="00861DBC">
        <w:trPr>
          <w:trHeight w:val="791"/>
        </w:trPr>
        <w:tc>
          <w:tcPr>
            <w:tcW w:w="1414" w:type="dxa"/>
            <w:shd w:val="clear" w:color="auto" w:fill="auto"/>
            <w:noWrap/>
            <w:vAlign w:val="center"/>
            <w:hideMark/>
          </w:tcPr>
          <w:p w14:paraId="2085BB8C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b/>
                <w:bCs/>
                <w:color w:val="000000"/>
                <w:sz w:val="18"/>
                <w:szCs w:val="18"/>
                <w:lang w:val="es-CO" w:eastAsia="es-CO"/>
              </w:rPr>
              <w:t>Departamento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45789E9C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b/>
                <w:bCs/>
                <w:color w:val="000000"/>
                <w:sz w:val="18"/>
                <w:szCs w:val="18"/>
                <w:lang w:val="es-CO" w:eastAsia="es-CO"/>
              </w:rPr>
              <w:t>Municipio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14:paraId="3F699BB7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b/>
                <w:bCs/>
                <w:color w:val="000000"/>
                <w:sz w:val="18"/>
                <w:szCs w:val="18"/>
                <w:lang w:val="es-CO" w:eastAsia="es-CO"/>
              </w:rPr>
              <w:t>Incidencia</w:t>
            </w:r>
            <w:r w:rsidRPr="00EA30C5">
              <w:rPr>
                <w:rFonts w:ascii="Arial Narrow" w:eastAsia="Times New Roman" w:hAnsi="Arial Narrow" w:cs="Tahoma"/>
                <w:b/>
                <w:bCs/>
                <w:color w:val="000000"/>
                <w:sz w:val="18"/>
                <w:szCs w:val="18"/>
                <w:lang w:val="es-CO" w:eastAsia="es-CO"/>
              </w:rPr>
              <w:br/>
              <w:t>(casos por 100 000 hab. en riesgo)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14:paraId="51879B8A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b/>
                <w:bCs/>
                <w:color w:val="000000"/>
                <w:sz w:val="18"/>
                <w:szCs w:val="18"/>
                <w:lang w:val="es-CO" w:eastAsia="es-CO"/>
              </w:rPr>
              <w:t>Acumulado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14:paraId="5A66D1BA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b/>
                <w:bCs/>
                <w:color w:val="000000"/>
                <w:sz w:val="18"/>
                <w:szCs w:val="18"/>
                <w:lang w:val="es-CO" w:eastAsia="es-CO"/>
              </w:rPr>
              <w:t>Esperado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3588A92F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b/>
                <w:bCs/>
                <w:color w:val="000000"/>
                <w:sz w:val="18"/>
                <w:szCs w:val="18"/>
                <w:lang w:val="es-CO" w:eastAsia="es-CO"/>
              </w:rPr>
              <w:t>Observado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56CF3708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b/>
                <w:bCs/>
                <w:color w:val="000000"/>
                <w:sz w:val="18"/>
                <w:szCs w:val="18"/>
                <w:lang w:val="es-CO" w:eastAsia="es-CO"/>
              </w:rPr>
              <w:t>Tipo de municipio</w:t>
            </w:r>
          </w:p>
        </w:tc>
      </w:tr>
      <w:tr w:rsidR="00861DBC" w:rsidRPr="00EA30C5" w14:paraId="4DDA10B7" w14:textId="77777777" w:rsidTr="00861DBC">
        <w:trPr>
          <w:trHeight w:val="293"/>
        </w:trPr>
        <w:tc>
          <w:tcPr>
            <w:tcW w:w="1414" w:type="dxa"/>
            <w:vMerge w:val="restart"/>
            <w:shd w:val="clear" w:color="auto" w:fill="auto"/>
            <w:noWrap/>
            <w:vAlign w:val="center"/>
            <w:hideMark/>
          </w:tcPr>
          <w:p w14:paraId="326D1B28" w14:textId="77777777" w:rsidR="00EA30C5" w:rsidRPr="00EA30C5" w:rsidRDefault="00EA30C5" w:rsidP="00EA30C5">
            <w:pPr>
              <w:spacing w:after="0" w:line="240" w:lineRule="auto"/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  <w:t>Antioquia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1EB78A13" w14:textId="77777777" w:rsidR="00EA30C5" w:rsidRPr="00EA30C5" w:rsidRDefault="00EA30C5" w:rsidP="00EA30C5">
            <w:pPr>
              <w:spacing w:after="0" w:line="240" w:lineRule="auto"/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  <w:t>Apartadó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14:paraId="0238CBC1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129,0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57ED5E37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170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14:paraId="4844392D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14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14:paraId="7C5251FB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25</w:t>
            </w:r>
          </w:p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14:paraId="7D1FF3D4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Muy alta transmisión</w:t>
            </w:r>
          </w:p>
        </w:tc>
      </w:tr>
      <w:tr w:rsidR="00861DBC" w:rsidRPr="00EA30C5" w14:paraId="6D6A13F4" w14:textId="77777777" w:rsidTr="00861DBC">
        <w:trPr>
          <w:trHeight w:val="293"/>
        </w:trPr>
        <w:tc>
          <w:tcPr>
            <w:tcW w:w="1414" w:type="dxa"/>
            <w:vMerge/>
            <w:vAlign w:val="center"/>
            <w:hideMark/>
          </w:tcPr>
          <w:p w14:paraId="41C00A55" w14:textId="77777777" w:rsidR="00EA30C5" w:rsidRPr="00EA30C5" w:rsidRDefault="00EA30C5" w:rsidP="00EA30C5">
            <w:pPr>
              <w:spacing w:after="0" w:line="240" w:lineRule="auto"/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</w:pP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7F592E26" w14:textId="77777777" w:rsidR="00EA30C5" w:rsidRPr="00EA30C5" w:rsidRDefault="00EA30C5" w:rsidP="00EA30C5">
            <w:pPr>
              <w:spacing w:after="0" w:line="240" w:lineRule="auto"/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  <w:t>Turbo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14:paraId="1B4C6EC1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86,4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5E419AD5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116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14:paraId="15DDCA7A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17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14:paraId="78AD6FC7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14:paraId="30A60DBF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Muy alta transmisión</w:t>
            </w:r>
          </w:p>
        </w:tc>
      </w:tr>
      <w:tr w:rsidR="00861DBC" w:rsidRPr="00EA30C5" w14:paraId="57EE24E3" w14:textId="77777777" w:rsidTr="00861DBC">
        <w:trPr>
          <w:trHeight w:val="293"/>
        </w:trPr>
        <w:tc>
          <w:tcPr>
            <w:tcW w:w="1414" w:type="dxa"/>
            <w:vMerge w:val="restart"/>
            <w:shd w:val="clear" w:color="auto" w:fill="auto"/>
            <w:noWrap/>
            <w:vAlign w:val="center"/>
            <w:hideMark/>
          </w:tcPr>
          <w:p w14:paraId="198C60FE" w14:textId="77777777" w:rsidR="00EA30C5" w:rsidRPr="00EA30C5" w:rsidRDefault="00EA30C5" w:rsidP="00EA30C5">
            <w:pPr>
              <w:spacing w:after="0" w:line="240" w:lineRule="auto"/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  <w:t>Atlántico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3971B2BC" w14:textId="77777777" w:rsidR="00EA30C5" w:rsidRPr="00EA30C5" w:rsidRDefault="00EA30C5" w:rsidP="00EA30C5">
            <w:pPr>
              <w:spacing w:after="0" w:line="240" w:lineRule="auto"/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  <w:t>Barranquilla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14:paraId="59E2B48E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134,5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693598C1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1764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14:paraId="483216E7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35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14:paraId="44A5803F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106</w:t>
            </w:r>
          </w:p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14:paraId="1C35D30C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Muy alta transmisión</w:t>
            </w:r>
          </w:p>
        </w:tc>
      </w:tr>
      <w:tr w:rsidR="00861DBC" w:rsidRPr="00EA30C5" w14:paraId="1C8C6A6B" w14:textId="77777777" w:rsidTr="00861DBC">
        <w:trPr>
          <w:trHeight w:val="293"/>
        </w:trPr>
        <w:tc>
          <w:tcPr>
            <w:tcW w:w="1414" w:type="dxa"/>
            <w:vMerge/>
            <w:vAlign w:val="center"/>
            <w:hideMark/>
          </w:tcPr>
          <w:p w14:paraId="6609F4C6" w14:textId="77777777" w:rsidR="00EA30C5" w:rsidRPr="00EA30C5" w:rsidRDefault="00EA30C5" w:rsidP="00EA30C5">
            <w:pPr>
              <w:spacing w:after="0" w:line="240" w:lineRule="auto"/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</w:pP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270047BE" w14:textId="77777777" w:rsidR="00EA30C5" w:rsidRPr="00EA30C5" w:rsidRDefault="00EA30C5" w:rsidP="00EA30C5">
            <w:pPr>
              <w:spacing w:after="0" w:line="240" w:lineRule="auto"/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  <w:t>Malambo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14:paraId="50CD0882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118,2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64CC3DD0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170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14:paraId="0A6C458F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7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14:paraId="76B52F20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26</w:t>
            </w:r>
          </w:p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14:paraId="1FDDD6F6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Alta transmisión</w:t>
            </w:r>
          </w:p>
        </w:tc>
      </w:tr>
      <w:tr w:rsidR="00861DBC" w:rsidRPr="00EA30C5" w14:paraId="37FDC3CD" w14:textId="77777777" w:rsidTr="00861DBC">
        <w:trPr>
          <w:trHeight w:val="293"/>
        </w:trPr>
        <w:tc>
          <w:tcPr>
            <w:tcW w:w="1414" w:type="dxa"/>
            <w:vMerge/>
            <w:vAlign w:val="center"/>
            <w:hideMark/>
          </w:tcPr>
          <w:p w14:paraId="51DB568C" w14:textId="77777777" w:rsidR="00EA30C5" w:rsidRPr="00EA30C5" w:rsidRDefault="00EA30C5" w:rsidP="00EA30C5">
            <w:pPr>
              <w:spacing w:after="0" w:line="240" w:lineRule="auto"/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</w:pP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6694243B" w14:textId="77777777" w:rsidR="00EA30C5" w:rsidRPr="00EA30C5" w:rsidRDefault="00EA30C5" w:rsidP="00EA30C5">
            <w:pPr>
              <w:spacing w:after="0" w:line="240" w:lineRule="auto"/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  <w:t>Soledad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14:paraId="5C3ED06F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123,5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70CF2CD4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845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14:paraId="56F7C08B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11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14:paraId="79A27454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49</w:t>
            </w:r>
          </w:p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14:paraId="6855A091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Muy alta transmisión</w:t>
            </w:r>
          </w:p>
        </w:tc>
      </w:tr>
      <w:tr w:rsidR="00861DBC" w:rsidRPr="00EA30C5" w14:paraId="5CD6AA11" w14:textId="77777777" w:rsidTr="00861DBC">
        <w:trPr>
          <w:trHeight w:val="293"/>
        </w:trPr>
        <w:tc>
          <w:tcPr>
            <w:tcW w:w="1414" w:type="dxa"/>
            <w:vMerge w:val="restart"/>
            <w:shd w:val="clear" w:color="auto" w:fill="auto"/>
            <w:noWrap/>
            <w:vAlign w:val="center"/>
            <w:hideMark/>
          </w:tcPr>
          <w:p w14:paraId="1D4D633F" w14:textId="77777777" w:rsidR="00EA30C5" w:rsidRPr="00EA30C5" w:rsidRDefault="00EA30C5" w:rsidP="00EA30C5">
            <w:pPr>
              <w:spacing w:after="0" w:line="240" w:lineRule="auto"/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  <w:t>Bolívar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3CE51E36" w14:textId="77777777" w:rsidR="00EA30C5" w:rsidRPr="00EA30C5" w:rsidRDefault="00EA30C5" w:rsidP="00EA30C5">
            <w:pPr>
              <w:spacing w:after="0" w:line="240" w:lineRule="auto"/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  <w:t>Cartagena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14:paraId="3CC4CB8B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161,7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64C169BD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1706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14:paraId="6B02541F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39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14:paraId="536208A5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218</w:t>
            </w:r>
          </w:p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14:paraId="72F2849F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Muy alta transmisión</w:t>
            </w:r>
          </w:p>
        </w:tc>
      </w:tr>
      <w:tr w:rsidR="00861DBC" w:rsidRPr="00EA30C5" w14:paraId="058C9CCE" w14:textId="77777777" w:rsidTr="00861DBC">
        <w:trPr>
          <w:trHeight w:val="293"/>
        </w:trPr>
        <w:tc>
          <w:tcPr>
            <w:tcW w:w="1414" w:type="dxa"/>
            <w:vMerge/>
            <w:vAlign w:val="center"/>
            <w:hideMark/>
          </w:tcPr>
          <w:p w14:paraId="32473401" w14:textId="77777777" w:rsidR="00EA30C5" w:rsidRPr="00EA30C5" w:rsidRDefault="00EA30C5" w:rsidP="00EA30C5">
            <w:pPr>
              <w:spacing w:after="0" w:line="240" w:lineRule="auto"/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</w:pP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70A2DE6E" w14:textId="77777777" w:rsidR="00EA30C5" w:rsidRPr="00EA30C5" w:rsidRDefault="00EA30C5" w:rsidP="00EA30C5">
            <w:pPr>
              <w:spacing w:after="0" w:line="240" w:lineRule="auto"/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  <w:t>Magangué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14:paraId="333C1A86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97,4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23D24433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140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14:paraId="548F10DF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9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14:paraId="0F872BA2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56</w:t>
            </w:r>
          </w:p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14:paraId="4FA1998D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Muy alta transmisión</w:t>
            </w:r>
          </w:p>
        </w:tc>
      </w:tr>
      <w:tr w:rsidR="00861DBC" w:rsidRPr="00EA30C5" w14:paraId="0A92E299" w14:textId="77777777" w:rsidTr="00861DBC">
        <w:trPr>
          <w:trHeight w:val="293"/>
        </w:trPr>
        <w:tc>
          <w:tcPr>
            <w:tcW w:w="1414" w:type="dxa"/>
            <w:vMerge/>
            <w:vAlign w:val="center"/>
            <w:hideMark/>
          </w:tcPr>
          <w:p w14:paraId="7E68317F" w14:textId="77777777" w:rsidR="00EA30C5" w:rsidRPr="00EA30C5" w:rsidRDefault="00EA30C5" w:rsidP="00EA30C5">
            <w:pPr>
              <w:spacing w:after="0" w:line="240" w:lineRule="auto"/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</w:pP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7E3FCAD8" w14:textId="77777777" w:rsidR="00EA30C5" w:rsidRPr="00EA30C5" w:rsidRDefault="00EA30C5" w:rsidP="00EA30C5">
            <w:pPr>
              <w:spacing w:after="0" w:line="240" w:lineRule="auto"/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  <w:t>Turbaco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14:paraId="7055CE75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245,8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26DE4070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286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14:paraId="375ACBC0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3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14:paraId="31474E08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66</w:t>
            </w:r>
          </w:p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14:paraId="1789551C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Mediana transmisión</w:t>
            </w:r>
          </w:p>
        </w:tc>
      </w:tr>
      <w:tr w:rsidR="00861DBC" w:rsidRPr="00EA30C5" w14:paraId="1506956A" w14:textId="77777777" w:rsidTr="00861DBC">
        <w:trPr>
          <w:trHeight w:val="293"/>
        </w:trPr>
        <w:tc>
          <w:tcPr>
            <w:tcW w:w="1414" w:type="dxa"/>
            <w:shd w:val="clear" w:color="auto" w:fill="auto"/>
            <w:noWrap/>
            <w:vAlign w:val="center"/>
            <w:hideMark/>
          </w:tcPr>
          <w:p w14:paraId="400BCFBD" w14:textId="77777777" w:rsidR="00EA30C5" w:rsidRPr="00EA30C5" w:rsidRDefault="00EA30C5" w:rsidP="00EA30C5">
            <w:pPr>
              <w:spacing w:after="0" w:line="240" w:lineRule="auto"/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  <w:t>Caquetá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202D5C6E" w14:textId="77777777" w:rsidR="00EA30C5" w:rsidRPr="00EA30C5" w:rsidRDefault="00EA30C5" w:rsidP="00EA30C5">
            <w:pPr>
              <w:spacing w:after="0" w:line="240" w:lineRule="auto"/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  <w:t>Florencia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14:paraId="073FA87A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371,8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302F12DC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657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14:paraId="18F340CA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27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14:paraId="47094812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73</w:t>
            </w:r>
          </w:p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14:paraId="4A1EA757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Muy alta transmisión</w:t>
            </w:r>
          </w:p>
        </w:tc>
      </w:tr>
      <w:tr w:rsidR="00861DBC" w:rsidRPr="00EA30C5" w14:paraId="5CBC0551" w14:textId="77777777" w:rsidTr="00861DBC">
        <w:trPr>
          <w:trHeight w:val="293"/>
        </w:trPr>
        <w:tc>
          <w:tcPr>
            <w:tcW w:w="1414" w:type="dxa"/>
            <w:shd w:val="clear" w:color="auto" w:fill="auto"/>
            <w:noWrap/>
            <w:vAlign w:val="center"/>
            <w:hideMark/>
          </w:tcPr>
          <w:p w14:paraId="389ED10F" w14:textId="77777777" w:rsidR="00EA30C5" w:rsidRPr="00EA30C5" w:rsidRDefault="00EA30C5" w:rsidP="00EA30C5">
            <w:pPr>
              <w:spacing w:after="0" w:line="240" w:lineRule="auto"/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  <w:t>Cauca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3FC70637" w14:textId="77777777" w:rsidR="00EA30C5" w:rsidRPr="00EA30C5" w:rsidRDefault="00EA30C5" w:rsidP="00EA30C5">
            <w:pPr>
              <w:spacing w:after="0" w:line="240" w:lineRule="auto"/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  <w:t>Santander de Quilichao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14:paraId="514636AF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45,3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0DACB517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52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14:paraId="35ABDAD8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2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14:paraId="1CF75FBF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8</w:t>
            </w:r>
          </w:p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14:paraId="5920DC9B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Mediana transmisión</w:t>
            </w:r>
          </w:p>
        </w:tc>
      </w:tr>
      <w:tr w:rsidR="00861DBC" w:rsidRPr="00EA30C5" w14:paraId="06ED4645" w14:textId="77777777" w:rsidTr="00861DBC">
        <w:trPr>
          <w:trHeight w:val="293"/>
        </w:trPr>
        <w:tc>
          <w:tcPr>
            <w:tcW w:w="1414" w:type="dxa"/>
            <w:vMerge w:val="restart"/>
            <w:shd w:val="clear" w:color="auto" w:fill="auto"/>
            <w:noWrap/>
            <w:vAlign w:val="center"/>
            <w:hideMark/>
          </w:tcPr>
          <w:p w14:paraId="3424DA8E" w14:textId="77777777" w:rsidR="00EA30C5" w:rsidRPr="00EA30C5" w:rsidRDefault="00EA30C5" w:rsidP="00EA30C5">
            <w:pPr>
              <w:spacing w:after="0" w:line="240" w:lineRule="auto"/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  <w:t>Cesar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04E1432B" w14:textId="77777777" w:rsidR="00EA30C5" w:rsidRPr="00EA30C5" w:rsidRDefault="00EA30C5" w:rsidP="00EA30C5">
            <w:pPr>
              <w:spacing w:after="0" w:line="240" w:lineRule="auto"/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  <w:t>Valledupar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14:paraId="50DA8A55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73,5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6AF9C42E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406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14:paraId="0AE808BB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29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14:paraId="02A3B6B1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126</w:t>
            </w:r>
          </w:p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14:paraId="5DA46616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Muy alta transmisión</w:t>
            </w:r>
          </w:p>
        </w:tc>
      </w:tr>
      <w:tr w:rsidR="00861DBC" w:rsidRPr="00EA30C5" w14:paraId="2A12470B" w14:textId="77777777" w:rsidTr="00861DBC">
        <w:trPr>
          <w:trHeight w:val="293"/>
        </w:trPr>
        <w:tc>
          <w:tcPr>
            <w:tcW w:w="1414" w:type="dxa"/>
            <w:vMerge/>
            <w:vAlign w:val="center"/>
            <w:hideMark/>
          </w:tcPr>
          <w:p w14:paraId="57AD7B3D" w14:textId="77777777" w:rsidR="00EA30C5" w:rsidRPr="00EA30C5" w:rsidRDefault="00EA30C5" w:rsidP="00EA30C5">
            <w:pPr>
              <w:spacing w:after="0" w:line="240" w:lineRule="auto"/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</w:pP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355DB983" w14:textId="77777777" w:rsidR="00EA30C5" w:rsidRPr="00EA30C5" w:rsidRDefault="00EA30C5" w:rsidP="00EA30C5">
            <w:pPr>
              <w:spacing w:after="0" w:line="240" w:lineRule="auto"/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  <w:t>Aguachica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14:paraId="67A2B513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549,2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6809759D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675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14:paraId="4DF1EE76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18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14:paraId="55560A52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230</w:t>
            </w:r>
          </w:p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14:paraId="60D6C361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Muy alta transmisión</w:t>
            </w:r>
          </w:p>
        </w:tc>
      </w:tr>
      <w:tr w:rsidR="00861DBC" w:rsidRPr="00EA30C5" w14:paraId="4683DFEB" w14:textId="77777777" w:rsidTr="00861DBC">
        <w:trPr>
          <w:trHeight w:val="293"/>
        </w:trPr>
        <w:tc>
          <w:tcPr>
            <w:tcW w:w="1414" w:type="dxa"/>
            <w:vMerge w:val="restart"/>
            <w:shd w:val="clear" w:color="auto" w:fill="auto"/>
            <w:noWrap/>
            <w:vAlign w:val="center"/>
            <w:hideMark/>
          </w:tcPr>
          <w:p w14:paraId="1A3C2C91" w14:textId="77777777" w:rsidR="00EA30C5" w:rsidRPr="00EA30C5" w:rsidRDefault="00EA30C5" w:rsidP="00EA30C5">
            <w:pPr>
              <w:spacing w:after="0" w:line="240" w:lineRule="auto"/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  <w:t>Córdoba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118679AA" w14:textId="77777777" w:rsidR="00EA30C5" w:rsidRPr="00EA30C5" w:rsidRDefault="00EA30C5" w:rsidP="00EA30C5">
            <w:pPr>
              <w:spacing w:after="0" w:line="240" w:lineRule="auto"/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  <w:t>Montería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14:paraId="6EF63111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131,4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75C54FDC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674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14:paraId="2D95A056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49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14:paraId="6034CEFE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82</w:t>
            </w:r>
          </w:p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14:paraId="64F5D89D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Muy alta transmisión</w:t>
            </w:r>
          </w:p>
        </w:tc>
      </w:tr>
      <w:tr w:rsidR="00861DBC" w:rsidRPr="00EA30C5" w14:paraId="7DEF8A4B" w14:textId="77777777" w:rsidTr="00861DBC">
        <w:trPr>
          <w:trHeight w:val="293"/>
        </w:trPr>
        <w:tc>
          <w:tcPr>
            <w:tcW w:w="1414" w:type="dxa"/>
            <w:vMerge/>
            <w:vAlign w:val="center"/>
            <w:hideMark/>
          </w:tcPr>
          <w:p w14:paraId="4C320EE4" w14:textId="77777777" w:rsidR="00EA30C5" w:rsidRPr="00EA30C5" w:rsidRDefault="00EA30C5" w:rsidP="00EA30C5">
            <w:pPr>
              <w:spacing w:after="0" w:line="240" w:lineRule="auto"/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</w:pP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37721679" w14:textId="77777777" w:rsidR="00EA30C5" w:rsidRPr="00EA30C5" w:rsidRDefault="00EA30C5" w:rsidP="00EA30C5">
            <w:pPr>
              <w:spacing w:after="0" w:line="240" w:lineRule="auto"/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  <w:t>Sahagún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14:paraId="2ED4EB09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95,6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39499242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107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14:paraId="567CCD96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6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14:paraId="0CE7C4A5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11</w:t>
            </w:r>
          </w:p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14:paraId="326F968E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Alta transmisión</w:t>
            </w:r>
          </w:p>
        </w:tc>
      </w:tr>
      <w:tr w:rsidR="00861DBC" w:rsidRPr="00EA30C5" w14:paraId="19D1DCFD" w14:textId="77777777" w:rsidTr="00861DBC">
        <w:trPr>
          <w:trHeight w:val="293"/>
        </w:trPr>
        <w:tc>
          <w:tcPr>
            <w:tcW w:w="1414" w:type="dxa"/>
            <w:shd w:val="clear" w:color="auto" w:fill="auto"/>
            <w:noWrap/>
            <w:vAlign w:val="center"/>
            <w:hideMark/>
          </w:tcPr>
          <w:p w14:paraId="69994EBD" w14:textId="77777777" w:rsidR="00EA30C5" w:rsidRPr="00EA30C5" w:rsidRDefault="00EA30C5" w:rsidP="00EA30C5">
            <w:pPr>
              <w:spacing w:after="0" w:line="240" w:lineRule="auto"/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  <w:t>Cundinamarca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396E8D4A" w14:textId="77777777" w:rsidR="00EA30C5" w:rsidRPr="00EA30C5" w:rsidRDefault="00EA30C5" w:rsidP="00EA30C5">
            <w:pPr>
              <w:spacing w:after="0" w:line="240" w:lineRule="auto"/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  <w:t>Girardot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14:paraId="612F278C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847,6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690D13A1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998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14:paraId="35B6E54D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21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14:paraId="44877E55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150</w:t>
            </w:r>
          </w:p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14:paraId="1D066809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Muy alta transmisión</w:t>
            </w:r>
          </w:p>
        </w:tc>
      </w:tr>
      <w:tr w:rsidR="00861DBC" w:rsidRPr="00EA30C5" w14:paraId="4920C682" w14:textId="77777777" w:rsidTr="00861DBC">
        <w:trPr>
          <w:trHeight w:val="293"/>
        </w:trPr>
        <w:tc>
          <w:tcPr>
            <w:tcW w:w="1414" w:type="dxa"/>
            <w:shd w:val="clear" w:color="auto" w:fill="auto"/>
            <w:noWrap/>
            <w:vAlign w:val="center"/>
            <w:hideMark/>
          </w:tcPr>
          <w:p w14:paraId="2317A6D6" w14:textId="77777777" w:rsidR="00EA30C5" w:rsidRPr="00EA30C5" w:rsidRDefault="00EA30C5" w:rsidP="00EA30C5">
            <w:pPr>
              <w:spacing w:after="0" w:line="240" w:lineRule="auto"/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  <w:t>Chocó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5D6819CF" w14:textId="77777777" w:rsidR="00EA30C5" w:rsidRPr="00EA30C5" w:rsidRDefault="00EA30C5" w:rsidP="00EA30C5">
            <w:pPr>
              <w:spacing w:after="0" w:line="240" w:lineRule="auto"/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  <w:t>Quibdó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14:paraId="7DB311A2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127,9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59B86238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170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14:paraId="119CED9E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2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14:paraId="4C546FC2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39</w:t>
            </w:r>
          </w:p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14:paraId="5E504981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Mediana transmisión</w:t>
            </w:r>
          </w:p>
        </w:tc>
      </w:tr>
      <w:tr w:rsidR="00861DBC" w:rsidRPr="00EA30C5" w14:paraId="2BE4F7E2" w14:textId="77777777" w:rsidTr="00861DBC">
        <w:trPr>
          <w:trHeight w:val="293"/>
        </w:trPr>
        <w:tc>
          <w:tcPr>
            <w:tcW w:w="1414" w:type="dxa"/>
            <w:shd w:val="clear" w:color="auto" w:fill="auto"/>
            <w:noWrap/>
            <w:vAlign w:val="center"/>
            <w:hideMark/>
          </w:tcPr>
          <w:p w14:paraId="096C519B" w14:textId="77777777" w:rsidR="00EA30C5" w:rsidRPr="00EA30C5" w:rsidRDefault="00EA30C5" w:rsidP="00EA30C5">
            <w:pPr>
              <w:spacing w:after="0" w:line="240" w:lineRule="auto"/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  <w:t>Huila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1B835BC3" w14:textId="77777777" w:rsidR="00EA30C5" w:rsidRPr="00EA30C5" w:rsidRDefault="00EA30C5" w:rsidP="00EA30C5">
            <w:pPr>
              <w:spacing w:after="0" w:line="240" w:lineRule="auto"/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  <w:t>Neiva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14:paraId="19640103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213,6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2C879A45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791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14:paraId="69361C29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43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14:paraId="5BE33B97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160</w:t>
            </w:r>
          </w:p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14:paraId="377202DF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Muy alta transmisión</w:t>
            </w:r>
          </w:p>
        </w:tc>
      </w:tr>
      <w:tr w:rsidR="00861DBC" w:rsidRPr="00EA30C5" w14:paraId="66218067" w14:textId="77777777" w:rsidTr="00861DBC">
        <w:trPr>
          <w:trHeight w:val="293"/>
        </w:trPr>
        <w:tc>
          <w:tcPr>
            <w:tcW w:w="1414" w:type="dxa"/>
            <w:vMerge w:val="restart"/>
            <w:shd w:val="clear" w:color="auto" w:fill="auto"/>
            <w:noWrap/>
            <w:vAlign w:val="center"/>
            <w:hideMark/>
          </w:tcPr>
          <w:p w14:paraId="0A066EE6" w14:textId="77777777" w:rsidR="00EA30C5" w:rsidRPr="00EA30C5" w:rsidRDefault="00EA30C5" w:rsidP="00EA30C5">
            <w:pPr>
              <w:spacing w:after="0" w:line="240" w:lineRule="auto"/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  <w:t>La Guajira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33D92035" w14:textId="77777777" w:rsidR="00EA30C5" w:rsidRPr="00EA30C5" w:rsidRDefault="00EA30C5" w:rsidP="00EA30C5">
            <w:pPr>
              <w:spacing w:after="0" w:line="240" w:lineRule="auto"/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  <w:t>Riohacha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14:paraId="2BB56301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309,3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68A3D75B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648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14:paraId="7089AE86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12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14:paraId="6CF93D2B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70</w:t>
            </w:r>
          </w:p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14:paraId="30AC8971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Alta transmisión</w:t>
            </w:r>
          </w:p>
        </w:tc>
      </w:tr>
      <w:tr w:rsidR="00861DBC" w:rsidRPr="00EA30C5" w14:paraId="47D2AD14" w14:textId="77777777" w:rsidTr="00861DBC">
        <w:trPr>
          <w:trHeight w:val="293"/>
        </w:trPr>
        <w:tc>
          <w:tcPr>
            <w:tcW w:w="1414" w:type="dxa"/>
            <w:vMerge/>
            <w:vAlign w:val="center"/>
            <w:hideMark/>
          </w:tcPr>
          <w:p w14:paraId="2E47CCC8" w14:textId="77777777" w:rsidR="00EA30C5" w:rsidRPr="00EA30C5" w:rsidRDefault="00EA30C5" w:rsidP="00EA30C5">
            <w:pPr>
              <w:spacing w:after="0" w:line="240" w:lineRule="auto"/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</w:pP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1387D493" w14:textId="77777777" w:rsidR="00EA30C5" w:rsidRPr="00EA30C5" w:rsidRDefault="00EA30C5" w:rsidP="00EA30C5">
            <w:pPr>
              <w:spacing w:after="0" w:line="240" w:lineRule="auto"/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  <w:t>Maicao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14:paraId="5CF2BC8E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81,2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6738736B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156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14:paraId="7BB0B5EC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3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14:paraId="454007B5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13</w:t>
            </w:r>
          </w:p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14:paraId="44749706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Mediana transmisión</w:t>
            </w:r>
          </w:p>
        </w:tc>
      </w:tr>
      <w:tr w:rsidR="00861DBC" w:rsidRPr="00EA30C5" w14:paraId="4C4855A8" w14:textId="77777777" w:rsidTr="00861DBC">
        <w:trPr>
          <w:trHeight w:val="293"/>
        </w:trPr>
        <w:tc>
          <w:tcPr>
            <w:tcW w:w="1414" w:type="dxa"/>
            <w:shd w:val="clear" w:color="auto" w:fill="auto"/>
            <w:noWrap/>
            <w:vAlign w:val="center"/>
            <w:hideMark/>
          </w:tcPr>
          <w:p w14:paraId="7846A151" w14:textId="77777777" w:rsidR="00EA30C5" w:rsidRPr="00EA30C5" w:rsidRDefault="00EA30C5" w:rsidP="00EA30C5">
            <w:pPr>
              <w:spacing w:after="0" w:line="240" w:lineRule="auto"/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  <w:t>Santa Marta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48A7A473" w14:textId="77777777" w:rsidR="00EA30C5" w:rsidRPr="00EA30C5" w:rsidRDefault="00EA30C5" w:rsidP="00EA30C5">
            <w:pPr>
              <w:spacing w:after="0" w:line="240" w:lineRule="auto"/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  <w:t>Santa Marta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14:paraId="625CABB6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44,0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18346074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243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14:paraId="2C64F4DE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12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14:paraId="3812C15D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33</w:t>
            </w:r>
          </w:p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14:paraId="4290E906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Muy alta transmisión</w:t>
            </w:r>
          </w:p>
        </w:tc>
      </w:tr>
      <w:tr w:rsidR="00861DBC" w:rsidRPr="00EA30C5" w14:paraId="34278004" w14:textId="77777777" w:rsidTr="00861DBC">
        <w:trPr>
          <w:trHeight w:val="293"/>
        </w:trPr>
        <w:tc>
          <w:tcPr>
            <w:tcW w:w="1414" w:type="dxa"/>
            <w:shd w:val="clear" w:color="auto" w:fill="auto"/>
            <w:noWrap/>
            <w:vAlign w:val="center"/>
            <w:hideMark/>
          </w:tcPr>
          <w:p w14:paraId="0E0AFD01" w14:textId="77777777" w:rsidR="00EA30C5" w:rsidRPr="00EA30C5" w:rsidRDefault="00EA30C5" w:rsidP="00EA30C5">
            <w:pPr>
              <w:spacing w:after="0" w:line="240" w:lineRule="auto"/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  <w:t>Meta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5698C336" w14:textId="77777777" w:rsidR="00EA30C5" w:rsidRPr="00EA30C5" w:rsidRDefault="00EA30C5" w:rsidP="00EA30C5">
            <w:pPr>
              <w:spacing w:after="0" w:line="240" w:lineRule="auto"/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  <w:t>Villavicencio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14:paraId="3D85E322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840,0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54675423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4283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14:paraId="1B1392D1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141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14:paraId="58F41612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1026</w:t>
            </w:r>
          </w:p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14:paraId="26FF8895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Muy alta transmisión</w:t>
            </w:r>
          </w:p>
        </w:tc>
      </w:tr>
      <w:tr w:rsidR="00861DBC" w:rsidRPr="00EA30C5" w14:paraId="6A5E52A1" w14:textId="77777777" w:rsidTr="00861DBC">
        <w:trPr>
          <w:trHeight w:val="293"/>
        </w:trPr>
        <w:tc>
          <w:tcPr>
            <w:tcW w:w="1414" w:type="dxa"/>
            <w:shd w:val="clear" w:color="auto" w:fill="auto"/>
            <w:noWrap/>
            <w:vAlign w:val="center"/>
            <w:hideMark/>
          </w:tcPr>
          <w:p w14:paraId="6A66E2A8" w14:textId="77777777" w:rsidR="00EA30C5" w:rsidRPr="00EA30C5" w:rsidRDefault="00EA30C5" w:rsidP="00EA30C5">
            <w:pPr>
              <w:spacing w:after="0" w:line="240" w:lineRule="auto"/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  <w:t>Nariño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081232A2" w14:textId="77777777" w:rsidR="00EA30C5" w:rsidRPr="00EA30C5" w:rsidRDefault="00EA30C5" w:rsidP="00EA30C5">
            <w:pPr>
              <w:spacing w:after="0" w:line="240" w:lineRule="auto"/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  <w:t>San Andres de Tumaco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14:paraId="3D2D1E09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167,9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06E6070E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432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14:paraId="41A95803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25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14:paraId="18A24036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105</w:t>
            </w:r>
          </w:p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14:paraId="23861848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Muy alta transmisión</w:t>
            </w:r>
          </w:p>
        </w:tc>
      </w:tr>
      <w:tr w:rsidR="00861DBC" w:rsidRPr="00EA30C5" w14:paraId="684C9311" w14:textId="77777777" w:rsidTr="00861DBC">
        <w:trPr>
          <w:trHeight w:val="293"/>
        </w:trPr>
        <w:tc>
          <w:tcPr>
            <w:tcW w:w="1414" w:type="dxa"/>
            <w:vMerge w:val="restart"/>
            <w:shd w:val="clear" w:color="auto" w:fill="auto"/>
            <w:noWrap/>
            <w:vAlign w:val="center"/>
            <w:hideMark/>
          </w:tcPr>
          <w:p w14:paraId="3F94C77A" w14:textId="77777777" w:rsidR="00EA30C5" w:rsidRPr="00EA30C5" w:rsidRDefault="00EA30C5" w:rsidP="00EA30C5">
            <w:pPr>
              <w:spacing w:after="0" w:line="240" w:lineRule="auto"/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  <w:t>Norte de Santander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49B556C1" w14:textId="77777777" w:rsidR="00EA30C5" w:rsidRPr="00EA30C5" w:rsidRDefault="00EA30C5" w:rsidP="00EA30C5">
            <w:pPr>
              <w:spacing w:after="0" w:line="240" w:lineRule="auto"/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  <w:t>Cúcuta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14:paraId="4CCE163C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79,5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1937D9C2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607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14:paraId="0EA9B8C7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65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14:paraId="202260D8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139</w:t>
            </w:r>
          </w:p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14:paraId="61E9FAEF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Muy alta transmisión</w:t>
            </w:r>
          </w:p>
        </w:tc>
      </w:tr>
      <w:tr w:rsidR="00861DBC" w:rsidRPr="00EA30C5" w14:paraId="70EF00F6" w14:textId="77777777" w:rsidTr="00861DBC">
        <w:trPr>
          <w:trHeight w:val="293"/>
        </w:trPr>
        <w:tc>
          <w:tcPr>
            <w:tcW w:w="1414" w:type="dxa"/>
            <w:vMerge/>
            <w:vAlign w:val="center"/>
            <w:hideMark/>
          </w:tcPr>
          <w:p w14:paraId="5CB2D0C3" w14:textId="77777777" w:rsidR="00EA30C5" w:rsidRPr="00EA30C5" w:rsidRDefault="00EA30C5" w:rsidP="00EA30C5">
            <w:pPr>
              <w:spacing w:after="0" w:line="240" w:lineRule="auto"/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</w:pP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52FF9DA8" w14:textId="77777777" w:rsidR="00EA30C5" w:rsidRPr="00EA30C5" w:rsidRDefault="00EA30C5" w:rsidP="00EA30C5">
            <w:pPr>
              <w:spacing w:after="0" w:line="240" w:lineRule="auto"/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  <w:t>Ocaña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14:paraId="3350278C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236,0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250A06D2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280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14:paraId="0CB45B6B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9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14:paraId="7E23C307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28</w:t>
            </w:r>
          </w:p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14:paraId="3CFDD55C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Muy alta transmisión</w:t>
            </w:r>
          </w:p>
        </w:tc>
      </w:tr>
      <w:tr w:rsidR="00861DBC" w:rsidRPr="00EA30C5" w14:paraId="770DEAC9" w14:textId="77777777" w:rsidTr="00861DBC">
        <w:trPr>
          <w:trHeight w:val="293"/>
        </w:trPr>
        <w:tc>
          <w:tcPr>
            <w:tcW w:w="1414" w:type="dxa"/>
            <w:shd w:val="clear" w:color="auto" w:fill="auto"/>
            <w:noWrap/>
            <w:vAlign w:val="center"/>
            <w:hideMark/>
          </w:tcPr>
          <w:p w14:paraId="1C04D5B4" w14:textId="3283578E" w:rsidR="00EA30C5" w:rsidRPr="00EA30C5" w:rsidRDefault="00861DBC" w:rsidP="00EA30C5">
            <w:pPr>
              <w:spacing w:after="0" w:line="240" w:lineRule="auto"/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  <w:t>Quindío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00872972" w14:textId="77777777" w:rsidR="00EA30C5" w:rsidRPr="00EA30C5" w:rsidRDefault="00EA30C5" w:rsidP="00EA30C5">
            <w:pPr>
              <w:spacing w:after="0" w:line="240" w:lineRule="auto"/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  <w:t>Armenia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14:paraId="5C4D9FBA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33,9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28F58DF2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106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14:paraId="6F534704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10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14:paraId="68D856F1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16</w:t>
            </w:r>
          </w:p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14:paraId="4E8C4A5F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Muy alta transmisión</w:t>
            </w:r>
          </w:p>
        </w:tc>
      </w:tr>
      <w:tr w:rsidR="00861DBC" w:rsidRPr="00EA30C5" w14:paraId="5E766EAE" w14:textId="77777777" w:rsidTr="00861DBC">
        <w:trPr>
          <w:trHeight w:val="293"/>
        </w:trPr>
        <w:tc>
          <w:tcPr>
            <w:tcW w:w="1414" w:type="dxa"/>
            <w:vMerge w:val="restart"/>
            <w:shd w:val="clear" w:color="auto" w:fill="auto"/>
            <w:noWrap/>
            <w:vAlign w:val="center"/>
            <w:hideMark/>
          </w:tcPr>
          <w:p w14:paraId="6BF51DC6" w14:textId="77777777" w:rsidR="00EA30C5" w:rsidRPr="00EA30C5" w:rsidRDefault="00EA30C5" w:rsidP="00EA30C5">
            <w:pPr>
              <w:spacing w:after="0" w:line="240" w:lineRule="auto"/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  <w:t>Santander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35841F67" w14:textId="77777777" w:rsidR="00EA30C5" w:rsidRPr="00EA30C5" w:rsidRDefault="00EA30C5" w:rsidP="00EA30C5">
            <w:pPr>
              <w:spacing w:after="0" w:line="240" w:lineRule="auto"/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  <w:t>Bucaramanga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14:paraId="28B5909B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138,5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58794A25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857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14:paraId="401E645A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35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14:paraId="68FCB4A6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270</w:t>
            </w:r>
          </w:p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14:paraId="41AB29FC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Muy alta transmisión</w:t>
            </w:r>
          </w:p>
        </w:tc>
      </w:tr>
      <w:tr w:rsidR="00861DBC" w:rsidRPr="00EA30C5" w14:paraId="253FEE42" w14:textId="77777777" w:rsidTr="00861DBC">
        <w:trPr>
          <w:trHeight w:val="293"/>
        </w:trPr>
        <w:tc>
          <w:tcPr>
            <w:tcW w:w="1414" w:type="dxa"/>
            <w:vMerge/>
            <w:vAlign w:val="center"/>
            <w:hideMark/>
          </w:tcPr>
          <w:p w14:paraId="0080E3A7" w14:textId="77777777" w:rsidR="00EA30C5" w:rsidRPr="00EA30C5" w:rsidRDefault="00EA30C5" w:rsidP="00EA30C5">
            <w:pPr>
              <w:spacing w:after="0" w:line="240" w:lineRule="auto"/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</w:pP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6BAA3A5C" w14:textId="77777777" w:rsidR="00EA30C5" w:rsidRPr="00EA30C5" w:rsidRDefault="00EA30C5" w:rsidP="00EA30C5">
            <w:pPr>
              <w:spacing w:after="0" w:line="240" w:lineRule="auto"/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  <w:t>Barrancabermeja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14:paraId="7C8DBA34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139,3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642D6017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299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14:paraId="3BCC2E4B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18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14:paraId="2318C838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70</w:t>
            </w:r>
          </w:p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14:paraId="08C5BF13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Muy alta transmisión</w:t>
            </w:r>
          </w:p>
        </w:tc>
      </w:tr>
      <w:tr w:rsidR="00861DBC" w:rsidRPr="00EA30C5" w14:paraId="5781B176" w14:textId="77777777" w:rsidTr="00861DBC">
        <w:trPr>
          <w:trHeight w:val="293"/>
        </w:trPr>
        <w:tc>
          <w:tcPr>
            <w:tcW w:w="1414" w:type="dxa"/>
            <w:vMerge/>
            <w:vAlign w:val="center"/>
            <w:hideMark/>
          </w:tcPr>
          <w:p w14:paraId="20A40FDA" w14:textId="77777777" w:rsidR="00EA30C5" w:rsidRPr="00EA30C5" w:rsidRDefault="00EA30C5" w:rsidP="00EA30C5">
            <w:pPr>
              <w:spacing w:after="0" w:line="240" w:lineRule="auto"/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</w:pP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5100E8AC" w14:textId="77777777" w:rsidR="00EA30C5" w:rsidRPr="00EA30C5" w:rsidRDefault="00EA30C5" w:rsidP="00EA30C5">
            <w:pPr>
              <w:spacing w:after="0" w:line="240" w:lineRule="auto"/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  <w:t>Floridablanca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14:paraId="2AEAFD74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134,8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140A255B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423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14:paraId="6447E235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24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14:paraId="34BDF667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138</w:t>
            </w:r>
          </w:p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14:paraId="76A29D83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Muy alta transmisión</w:t>
            </w:r>
          </w:p>
        </w:tc>
      </w:tr>
      <w:tr w:rsidR="00861DBC" w:rsidRPr="00EA30C5" w14:paraId="452D491F" w14:textId="77777777" w:rsidTr="00861DBC">
        <w:trPr>
          <w:trHeight w:val="293"/>
        </w:trPr>
        <w:tc>
          <w:tcPr>
            <w:tcW w:w="1414" w:type="dxa"/>
            <w:vMerge/>
            <w:vAlign w:val="center"/>
            <w:hideMark/>
          </w:tcPr>
          <w:p w14:paraId="2581D3E9" w14:textId="77777777" w:rsidR="00EA30C5" w:rsidRPr="00EA30C5" w:rsidRDefault="00EA30C5" w:rsidP="00EA30C5">
            <w:pPr>
              <w:spacing w:after="0" w:line="240" w:lineRule="auto"/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</w:pP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00AB5589" w14:textId="77777777" w:rsidR="00EA30C5" w:rsidRPr="00EA30C5" w:rsidRDefault="00EA30C5" w:rsidP="00EA30C5">
            <w:pPr>
              <w:spacing w:after="0" w:line="240" w:lineRule="auto"/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  <w:t>Girón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14:paraId="47FD0B9C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218,1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51B34B45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382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14:paraId="665B7513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14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14:paraId="5DA74007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88</w:t>
            </w:r>
          </w:p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14:paraId="74503C7C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Muy alta transmisión</w:t>
            </w:r>
          </w:p>
        </w:tc>
      </w:tr>
      <w:tr w:rsidR="00861DBC" w:rsidRPr="00EA30C5" w14:paraId="6F198FB2" w14:textId="77777777" w:rsidTr="00861DBC">
        <w:trPr>
          <w:trHeight w:val="293"/>
        </w:trPr>
        <w:tc>
          <w:tcPr>
            <w:tcW w:w="1414" w:type="dxa"/>
            <w:vMerge/>
            <w:vAlign w:val="center"/>
            <w:hideMark/>
          </w:tcPr>
          <w:p w14:paraId="755B0FA3" w14:textId="77777777" w:rsidR="00EA30C5" w:rsidRPr="00EA30C5" w:rsidRDefault="00EA30C5" w:rsidP="00EA30C5">
            <w:pPr>
              <w:spacing w:after="0" w:line="240" w:lineRule="auto"/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</w:pP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4173D734" w14:textId="77777777" w:rsidR="00EA30C5" w:rsidRPr="00EA30C5" w:rsidRDefault="00EA30C5" w:rsidP="00EA30C5">
            <w:pPr>
              <w:spacing w:after="0" w:line="240" w:lineRule="auto"/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  <w:t>Piedecuesta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14:paraId="1413AA74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248,9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517EDF55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464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14:paraId="0B4AACC1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23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14:paraId="4AD218AB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147</w:t>
            </w:r>
          </w:p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14:paraId="79092691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Muy alta transmisión</w:t>
            </w:r>
          </w:p>
        </w:tc>
      </w:tr>
      <w:tr w:rsidR="00861DBC" w:rsidRPr="00EA30C5" w14:paraId="680D5B66" w14:textId="77777777" w:rsidTr="00861DBC">
        <w:trPr>
          <w:trHeight w:val="293"/>
        </w:trPr>
        <w:tc>
          <w:tcPr>
            <w:tcW w:w="1414" w:type="dxa"/>
            <w:shd w:val="clear" w:color="auto" w:fill="auto"/>
            <w:noWrap/>
            <w:vAlign w:val="center"/>
            <w:hideMark/>
          </w:tcPr>
          <w:p w14:paraId="42AA85CB" w14:textId="77777777" w:rsidR="00EA30C5" w:rsidRPr="00EA30C5" w:rsidRDefault="00EA30C5" w:rsidP="00EA30C5">
            <w:pPr>
              <w:spacing w:after="0" w:line="240" w:lineRule="auto"/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  <w:t>Tolima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22DB8667" w14:textId="77777777" w:rsidR="00EA30C5" w:rsidRPr="00EA30C5" w:rsidRDefault="00EA30C5" w:rsidP="00EA30C5">
            <w:pPr>
              <w:spacing w:after="0" w:line="240" w:lineRule="auto"/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  <w:t>Ibagué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14:paraId="5ABFE619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162,7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0EEB2E44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885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14:paraId="6F5AB0BB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70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14:paraId="053AE176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230</w:t>
            </w:r>
          </w:p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14:paraId="3EE81228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Muy alta transmisión</w:t>
            </w:r>
          </w:p>
        </w:tc>
      </w:tr>
      <w:tr w:rsidR="00861DBC" w:rsidRPr="00EA30C5" w14:paraId="7203B8DC" w14:textId="77777777" w:rsidTr="00861DBC">
        <w:trPr>
          <w:trHeight w:val="293"/>
        </w:trPr>
        <w:tc>
          <w:tcPr>
            <w:tcW w:w="1414" w:type="dxa"/>
            <w:vMerge w:val="restart"/>
            <w:shd w:val="clear" w:color="auto" w:fill="auto"/>
            <w:noWrap/>
            <w:vAlign w:val="center"/>
            <w:hideMark/>
          </w:tcPr>
          <w:p w14:paraId="63785436" w14:textId="77777777" w:rsidR="00EA30C5" w:rsidRPr="00EA30C5" w:rsidRDefault="00EA30C5" w:rsidP="00EA30C5">
            <w:pPr>
              <w:spacing w:after="0" w:line="240" w:lineRule="auto"/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  <w:lastRenderedPageBreak/>
              <w:t>Valle del Cauca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1A4374A2" w14:textId="77777777" w:rsidR="00EA30C5" w:rsidRPr="00EA30C5" w:rsidRDefault="00EA30C5" w:rsidP="00EA30C5">
            <w:pPr>
              <w:spacing w:after="0" w:line="240" w:lineRule="auto"/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  <w:t>Cali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14:paraId="28DE3C9A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102,2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70C799F0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2331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14:paraId="34697CA8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261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14:paraId="4DE0053C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643</w:t>
            </w:r>
          </w:p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14:paraId="26359E39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Muy alta transmisión</w:t>
            </w:r>
          </w:p>
        </w:tc>
      </w:tr>
      <w:tr w:rsidR="00861DBC" w:rsidRPr="00EA30C5" w14:paraId="37D13EB2" w14:textId="77777777" w:rsidTr="00861DBC">
        <w:trPr>
          <w:trHeight w:val="293"/>
        </w:trPr>
        <w:tc>
          <w:tcPr>
            <w:tcW w:w="1414" w:type="dxa"/>
            <w:vMerge/>
            <w:vAlign w:val="center"/>
            <w:hideMark/>
          </w:tcPr>
          <w:p w14:paraId="13D7CD0E" w14:textId="77777777" w:rsidR="00EA30C5" w:rsidRPr="00EA30C5" w:rsidRDefault="00EA30C5" w:rsidP="00EA30C5">
            <w:pPr>
              <w:spacing w:after="0" w:line="240" w:lineRule="auto"/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</w:pP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58E252BF" w14:textId="77777777" w:rsidR="00EA30C5" w:rsidRPr="00EA30C5" w:rsidRDefault="00EA30C5" w:rsidP="00EA30C5">
            <w:pPr>
              <w:spacing w:after="0" w:line="240" w:lineRule="auto"/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  <w:t>Jamundí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14:paraId="7D8D6038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33,1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33B147B2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56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14:paraId="33183B2D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5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14:paraId="43A2FA13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18</w:t>
            </w:r>
          </w:p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14:paraId="5E6084BD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Alta transmisión</w:t>
            </w:r>
          </w:p>
        </w:tc>
      </w:tr>
      <w:tr w:rsidR="00861DBC" w:rsidRPr="00EA30C5" w14:paraId="22B9F574" w14:textId="77777777" w:rsidTr="00861DBC">
        <w:trPr>
          <w:trHeight w:val="293"/>
        </w:trPr>
        <w:tc>
          <w:tcPr>
            <w:tcW w:w="1414" w:type="dxa"/>
            <w:vMerge/>
            <w:vAlign w:val="center"/>
            <w:hideMark/>
          </w:tcPr>
          <w:p w14:paraId="715F0C0D" w14:textId="77777777" w:rsidR="00EA30C5" w:rsidRPr="00EA30C5" w:rsidRDefault="00EA30C5" w:rsidP="00EA30C5">
            <w:pPr>
              <w:spacing w:after="0" w:line="240" w:lineRule="auto"/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</w:pP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665E434F" w14:textId="77777777" w:rsidR="00EA30C5" w:rsidRPr="00EA30C5" w:rsidRDefault="00EA30C5" w:rsidP="00EA30C5">
            <w:pPr>
              <w:spacing w:after="0" w:line="240" w:lineRule="auto"/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  <w:t>Palmira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14:paraId="49491FD1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56,6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155660E8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203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14:paraId="2DD05ECD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13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14:paraId="2DD1B2FE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60</w:t>
            </w:r>
          </w:p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14:paraId="60CC8FEA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Muy alta transmisión</w:t>
            </w:r>
          </w:p>
        </w:tc>
      </w:tr>
      <w:tr w:rsidR="00861DBC" w:rsidRPr="00EA30C5" w14:paraId="79DE2436" w14:textId="77777777" w:rsidTr="00861DBC">
        <w:trPr>
          <w:trHeight w:val="293"/>
        </w:trPr>
        <w:tc>
          <w:tcPr>
            <w:tcW w:w="1414" w:type="dxa"/>
            <w:vMerge/>
            <w:vAlign w:val="center"/>
            <w:hideMark/>
          </w:tcPr>
          <w:p w14:paraId="530A16C4" w14:textId="77777777" w:rsidR="00EA30C5" w:rsidRPr="00EA30C5" w:rsidRDefault="00EA30C5" w:rsidP="00EA30C5">
            <w:pPr>
              <w:spacing w:after="0" w:line="240" w:lineRule="auto"/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</w:pP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45183CD0" w14:textId="77777777" w:rsidR="00EA30C5" w:rsidRPr="00EA30C5" w:rsidRDefault="00EA30C5" w:rsidP="00EA30C5">
            <w:pPr>
              <w:spacing w:after="0" w:line="240" w:lineRule="auto"/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  <w:t>Tuluá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14:paraId="4DE1C8B6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37,5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69DDBD17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83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14:paraId="7AAC066D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12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14:paraId="347F7318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21</w:t>
            </w:r>
          </w:p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14:paraId="186F1DFD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Muy alta transmisión</w:t>
            </w:r>
          </w:p>
        </w:tc>
      </w:tr>
      <w:tr w:rsidR="00861DBC" w:rsidRPr="00EA30C5" w14:paraId="6DAAFCA2" w14:textId="77777777" w:rsidTr="00861DBC">
        <w:trPr>
          <w:trHeight w:val="293"/>
        </w:trPr>
        <w:tc>
          <w:tcPr>
            <w:tcW w:w="1414" w:type="dxa"/>
            <w:vMerge/>
            <w:vAlign w:val="center"/>
            <w:hideMark/>
          </w:tcPr>
          <w:p w14:paraId="5A201963" w14:textId="77777777" w:rsidR="00EA30C5" w:rsidRPr="00EA30C5" w:rsidRDefault="00EA30C5" w:rsidP="00EA30C5">
            <w:pPr>
              <w:spacing w:after="0" w:line="240" w:lineRule="auto"/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</w:pP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1C7AC8DA" w14:textId="77777777" w:rsidR="00EA30C5" w:rsidRPr="00EA30C5" w:rsidRDefault="00EA30C5" w:rsidP="00EA30C5">
            <w:pPr>
              <w:spacing w:after="0" w:line="240" w:lineRule="auto"/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  <w:t>Yumbo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14:paraId="2D781D87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270,0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74117EB5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301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14:paraId="5E36EE92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12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14:paraId="7C6B4AF3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146</w:t>
            </w:r>
          </w:p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14:paraId="3B274C68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Alta transmisión</w:t>
            </w:r>
          </w:p>
        </w:tc>
      </w:tr>
      <w:tr w:rsidR="00861DBC" w:rsidRPr="00EA30C5" w14:paraId="71483450" w14:textId="77777777" w:rsidTr="00861DBC">
        <w:trPr>
          <w:trHeight w:val="293"/>
        </w:trPr>
        <w:tc>
          <w:tcPr>
            <w:tcW w:w="1414" w:type="dxa"/>
            <w:shd w:val="clear" w:color="auto" w:fill="auto"/>
            <w:noWrap/>
            <w:vAlign w:val="center"/>
            <w:hideMark/>
          </w:tcPr>
          <w:p w14:paraId="53AABE4C" w14:textId="77777777" w:rsidR="00EA30C5" w:rsidRPr="00EA30C5" w:rsidRDefault="00EA30C5" w:rsidP="00EA30C5">
            <w:pPr>
              <w:spacing w:after="0" w:line="240" w:lineRule="auto"/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  <w:t>Arauca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585355BB" w14:textId="77777777" w:rsidR="00EA30C5" w:rsidRPr="00EA30C5" w:rsidRDefault="00EA30C5" w:rsidP="00EA30C5">
            <w:pPr>
              <w:spacing w:after="0" w:line="240" w:lineRule="auto"/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  <w:t>Arauca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14:paraId="100CC4E6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39,9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54EA567D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40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14:paraId="3D04D652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9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14:paraId="7D9EEA9E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17</w:t>
            </w:r>
          </w:p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14:paraId="549B9FA4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Alta transmisión</w:t>
            </w:r>
          </w:p>
        </w:tc>
      </w:tr>
      <w:tr w:rsidR="00861DBC" w:rsidRPr="00EA30C5" w14:paraId="10ECF06C" w14:textId="77777777" w:rsidTr="00861DBC">
        <w:trPr>
          <w:trHeight w:val="293"/>
        </w:trPr>
        <w:tc>
          <w:tcPr>
            <w:tcW w:w="1414" w:type="dxa"/>
            <w:shd w:val="clear" w:color="auto" w:fill="auto"/>
            <w:noWrap/>
            <w:vAlign w:val="center"/>
            <w:hideMark/>
          </w:tcPr>
          <w:p w14:paraId="7A0BC3D1" w14:textId="77777777" w:rsidR="00EA30C5" w:rsidRPr="00EA30C5" w:rsidRDefault="00EA30C5" w:rsidP="00EA30C5">
            <w:pPr>
              <w:spacing w:after="0" w:line="240" w:lineRule="auto"/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  <w:t>Casanare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3064125A" w14:textId="77777777" w:rsidR="00EA30C5" w:rsidRPr="00EA30C5" w:rsidRDefault="00EA30C5" w:rsidP="00EA30C5">
            <w:pPr>
              <w:spacing w:after="0" w:line="240" w:lineRule="auto"/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sz w:val="18"/>
                <w:szCs w:val="18"/>
                <w:lang w:val="es-CO" w:eastAsia="es-CO"/>
              </w:rPr>
              <w:t>Yopal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14:paraId="0A20D00E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161,2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27DA55E5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291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14:paraId="7E1DFD7E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45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14:paraId="5F92B9AA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120</w:t>
            </w:r>
          </w:p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14:paraId="1AE9A85E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EA30C5"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s-CO" w:eastAsia="es-CO"/>
              </w:rPr>
              <w:t>Muy alta transmisión</w:t>
            </w:r>
          </w:p>
        </w:tc>
      </w:tr>
    </w:tbl>
    <w:p w14:paraId="26EF09E8" w14:textId="1A5C4DD6" w:rsidR="00DA0A08" w:rsidRPr="00861DBC" w:rsidRDefault="00DA0A08" w:rsidP="00524266">
      <w:pPr>
        <w:pStyle w:val="Piedeayudavisual"/>
      </w:pPr>
      <w:r w:rsidRPr="00861DBC">
        <w:t>Fuente: Sivigila, Instituto Nacional de Salud, Colombia, 2023</w:t>
      </w:r>
    </w:p>
    <w:p w14:paraId="034DF1F0" w14:textId="46F87C80" w:rsidR="0007642F" w:rsidRPr="00603EA5" w:rsidRDefault="00926522" w:rsidP="00926522">
      <w:pPr>
        <w:jc w:val="both"/>
      </w:pPr>
      <w:r w:rsidRPr="008F0475">
        <w:t xml:space="preserve">A </w:t>
      </w:r>
      <w:r w:rsidR="00F66A0B" w:rsidRPr="008F0475">
        <w:t>semana epidemiológica</w:t>
      </w:r>
      <w:r w:rsidR="000A3310" w:rsidRPr="008F0475">
        <w:t xml:space="preserve"> </w:t>
      </w:r>
      <w:r w:rsidR="00F72428" w:rsidRPr="008F0475">
        <w:t>2</w:t>
      </w:r>
      <w:r w:rsidR="00742C8C" w:rsidRPr="008F0475">
        <w:t>5</w:t>
      </w:r>
      <w:r w:rsidR="000A3310" w:rsidRPr="008F0475">
        <w:t xml:space="preserve"> </w:t>
      </w:r>
      <w:r w:rsidRPr="008F0475">
        <w:t>de 202</w:t>
      </w:r>
      <w:r w:rsidR="0007642F" w:rsidRPr="008F0475">
        <w:t>3</w:t>
      </w:r>
      <w:r w:rsidR="00F1536B" w:rsidRPr="008F0475">
        <w:t xml:space="preserve"> </w:t>
      </w:r>
      <w:r w:rsidRPr="008F0475">
        <w:t xml:space="preserve">se han notificado </w:t>
      </w:r>
      <w:r w:rsidR="00171D82" w:rsidRPr="008F0475">
        <w:t>1</w:t>
      </w:r>
      <w:r w:rsidR="008F0475" w:rsidRPr="008F0475">
        <w:t>61</w:t>
      </w:r>
      <w:r w:rsidR="00783B57" w:rsidRPr="008F0475">
        <w:t xml:space="preserve"> </w:t>
      </w:r>
      <w:r w:rsidRPr="008F0475">
        <w:t>muertes probables por dengue</w:t>
      </w:r>
      <w:r w:rsidR="0016179C" w:rsidRPr="008F0475">
        <w:t xml:space="preserve">, </w:t>
      </w:r>
      <w:r w:rsidR="00B849BA" w:rsidRPr="00AF06E3">
        <w:t xml:space="preserve">de los que se han confirmado </w:t>
      </w:r>
      <w:r w:rsidR="00610C79" w:rsidRPr="00AF06E3">
        <w:t>2</w:t>
      </w:r>
      <w:r w:rsidR="00742C8C">
        <w:t>9</w:t>
      </w:r>
      <w:r w:rsidR="00B849BA" w:rsidRPr="00AF06E3">
        <w:t xml:space="preserve"> muertes procedentes de </w:t>
      </w:r>
      <w:r w:rsidR="00256CCB" w:rsidRPr="00AF06E3">
        <w:t>Tolima con 5 casos; Meta y Sucre</w:t>
      </w:r>
      <w:r w:rsidR="000A25F2" w:rsidRPr="00AF06E3">
        <w:t xml:space="preserve"> con </w:t>
      </w:r>
      <w:r w:rsidR="00827C01" w:rsidRPr="00AF06E3">
        <w:t>4</w:t>
      </w:r>
      <w:r w:rsidR="000A25F2" w:rsidRPr="00AF06E3">
        <w:t xml:space="preserve"> casos</w:t>
      </w:r>
      <w:r w:rsidR="003D163F" w:rsidRPr="00AF06E3">
        <w:t xml:space="preserve"> cada uno</w:t>
      </w:r>
      <w:r w:rsidR="002D3421" w:rsidRPr="00AF06E3">
        <w:t>;</w:t>
      </w:r>
      <w:r w:rsidR="00EA00B2" w:rsidRPr="00AF06E3">
        <w:t xml:space="preserve"> </w:t>
      </w:r>
      <w:r w:rsidR="00C52290" w:rsidRPr="00AF06E3">
        <w:t>Huila</w:t>
      </w:r>
      <w:r w:rsidR="00742C8C">
        <w:t>,</w:t>
      </w:r>
      <w:r w:rsidR="00256CCB" w:rsidRPr="00AF06E3">
        <w:t xml:space="preserve"> </w:t>
      </w:r>
      <w:r w:rsidR="00742C8C" w:rsidRPr="00AF06E3">
        <w:t xml:space="preserve">Cundinamarca </w:t>
      </w:r>
      <w:r w:rsidR="00256CCB" w:rsidRPr="00AF06E3">
        <w:t>y Norte de Santander</w:t>
      </w:r>
      <w:r w:rsidR="00C52290" w:rsidRPr="00AF06E3">
        <w:t xml:space="preserve"> con 2 casos; Amazonas,</w:t>
      </w:r>
      <w:r w:rsidR="00EA00B2" w:rsidRPr="00AF06E3">
        <w:t xml:space="preserve"> </w:t>
      </w:r>
      <w:r w:rsidR="00CC0F76" w:rsidRPr="00AF06E3">
        <w:t>Antioqui</w:t>
      </w:r>
      <w:r w:rsidR="00B57893" w:rsidRPr="00AF06E3">
        <w:t xml:space="preserve">a, </w:t>
      </w:r>
      <w:r w:rsidR="001070AE" w:rsidRPr="00AF06E3">
        <w:t xml:space="preserve">Bolívar, </w:t>
      </w:r>
      <w:r w:rsidR="00C52290" w:rsidRPr="00AF06E3">
        <w:t xml:space="preserve">Cartagena, </w:t>
      </w:r>
      <w:r w:rsidR="007C1DD9" w:rsidRPr="00AF06E3">
        <w:t xml:space="preserve">Cesar, </w:t>
      </w:r>
      <w:r w:rsidR="001070AE" w:rsidRPr="00AF06E3">
        <w:t xml:space="preserve">Córdoba, La Guajira, </w:t>
      </w:r>
      <w:r w:rsidR="007C1DD9" w:rsidRPr="00AF06E3">
        <w:t>Magdalena</w:t>
      </w:r>
      <w:r w:rsidR="001070AE" w:rsidRPr="00AF06E3">
        <w:t>,</w:t>
      </w:r>
      <w:r w:rsidR="00B57893" w:rsidRPr="00AF06E3">
        <w:t xml:space="preserve"> </w:t>
      </w:r>
      <w:r w:rsidR="00C52290" w:rsidRPr="00AF06E3">
        <w:t>Nariño</w:t>
      </w:r>
      <w:r w:rsidR="001070AE" w:rsidRPr="00AF06E3">
        <w:t xml:space="preserve"> y Santander </w:t>
      </w:r>
      <w:r w:rsidR="00D73AD9" w:rsidRPr="00AF06E3">
        <w:t>con 1 caso</w:t>
      </w:r>
      <w:r w:rsidR="00B57893" w:rsidRPr="00AF06E3">
        <w:t xml:space="preserve"> cada uno</w:t>
      </w:r>
      <w:r w:rsidR="00B849BA" w:rsidRPr="00AF06E3">
        <w:t xml:space="preserve">. </w:t>
      </w:r>
      <w:r w:rsidR="00E440A2" w:rsidRPr="00AF06E3">
        <w:t xml:space="preserve">Para el mismo periodo de 2022 </w:t>
      </w:r>
      <w:r w:rsidR="00581B59" w:rsidRPr="00AF06E3">
        <w:t xml:space="preserve">se </w:t>
      </w:r>
      <w:r w:rsidR="00E440A2" w:rsidRPr="00AF06E3">
        <w:t xml:space="preserve">confirmaron </w:t>
      </w:r>
      <w:r w:rsidR="00C10446" w:rsidRPr="00AF06E3">
        <w:t>31</w:t>
      </w:r>
      <w:r w:rsidR="00E440A2" w:rsidRPr="00AF06E3">
        <w:t xml:space="preserve"> muertes por dengue.</w:t>
      </w:r>
      <w:r w:rsidR="004905CF" w:rsidRPr="00AF06E3">
        <w:t xml:space="preserve"> </w:t>
      </w:r>
      <w:r w:rsidR="00526AF1" w:rsidRPr="00AF06E3">
        <w:t>Se desca</w:t>
      </w:r>
      <w:r w:rsidR="00526AF1" w:rsidRPr="00742C8C">
        <w:t xml:space="preserve">rtaron </w:t>
      </w:r>
      <w:r w:rsidR="00D400F8" w:rsidRPr="00742C8C">
        <w:t>6</w:t>
      </w:r>
      <w:r w:rsidR="00F97DE6" w:rsidRPr="00742C8C">
        <w:t>7</w:t>
      </w:r>
      <w:r w:rsidR="00526AF1" w:rsidRPr="00742C8C">
        <w:t xml:space="preserve"> casos y se encuentran en estudio</w:t>
      </w:r>
      <w:r w:rsidR="00D30F4A" w:rsidRPr="00742C8C">
        <w:t xml:space="preserve"> </w:t>
      </w:r>
      <w:r w:rsidR="00AF06E3" w:rsidRPr="00742C8C">
        <w:t>6</w:t>
      </w:r>
      <w:r w:rsidR="00EF33C0" w:rsidRPr="00742C8C">
        <w:t>5</w:t>
      </w:r>
      <w:r w:rsidR="00526AF1" w:rsidRPr="00742C8C">
        <w:t xml:space="preserve"> muertes </w:t>
      </w:r>
      <w:r w:rsidR="00AA6DE3" w:rsidRPr="00742C8C">
        <w:t>probables</w:t>
      </w:r>
      <w:r w:rsidR="0063253B" w:rsidRPr="00742C8C">
        <w:t xml:space="preserve"> </w:t>
      </w:r>
      <w:r w:rsidR="00CB68D3" w:rsidRPr="00742C8C">
        <w:t>de</w:t>
      </w:r>
      <w:r w:rsidR="00526AF1" w:rsidRPr="00742C8C">
        <w:t>:</w:t>
      </w:r>
      <w:r w:rsidR="0007642F" w:rsidRPr="00742C8C">
        <w:t xml:space="preserve"> </w:t>
      </w:r>
      <w:r w:rsidR="007D107B" w:rsidRPr="00742C8C">
        <w:t xml:space="preserve">Meta </w:t>
      </w:r>
      <w:r w:rsidR="00E83C6E" w:rsidRPr="00742C8C">
        <w:t xml:space="preserve">con </w:t>
      </w:r>
      <w:r w:rsidR="00427137" w:rsidRPr="00742C8C">
        <w:t>8</w:t>
      </w:r>
      <w:r w:rsidR="00E83C6E" w:rsidRPr="00742C8C">
        <w:t xml:space="preserve"> </w:t>
      </w:r>
      <w:r w:rsidR="00E83C6E" w:rsidRPr="00525076">
        <w:t>casos;</w:t>
      </w:r>
      <w:r w:rsidR="00427137" w:rsidRPr="00525076">
        <w:t xml:space="preserve"> </w:t>
      </w:r>
      <w:r w:rsidR="007D107B" w:rsidRPr="00525076">
        <w:t xml:space="preserve">Tolima con </w:t>
      </w:r>
      <w:r w:rsidR="00742C8C" w:rsidRPr="00525076">
        <w:t>7</w:t>
      </w:r>
      <w:r w:rsidR="007D107B" w:rsidRPr="00525076">
        <w:t xml:space="preserve"> casos; </w:t>
      </w:r>
      <w:r w:rsidR="004C3BD4" w:rsidRPr="00525076">
        <w:t xml:space="preserve">Antioquia con 5 casos; Cesar, </w:t>
      </w:r>
      <w:r w:rsidR="00D158C2" w:rsidRPr="00525076">
        <w:t>Choc</w:t>
      </w:r>
      <w:r w:rsidR="004C3BD4" w:rsidRPr="00525076">
        <w:t xml:space="preserve">ó </w:t>
      </w:r>
      <w:r w:rsidR="00D158C2" w:rsidRPr="00525076">
        <w:t xml:space="preserve">y </w:t>
      </w:r>
      <w:r w:rsidR="00E821E6" w:rsidRPr="00525076">
        <w:t>La Guajira</w:t>
      </w:r>
      <w:r w:rsidR="00D91641" w:rsidRPr="00525076">
        <w:t xml:space="preserve"> </w:t>
      </w:r>
      <w:r w:rsidR="00C52290" w:rsidRPr="00525076">
        <w:t xml:space="preserve">con </w:t>
      </w:r>
      <w:r w:rsidR="00D91641" w:rsidRPr="00525076">
        <w:t>4</w:t>
      </w:r>
      <w:r w:rsidR="00C52290" w:rsidRPr="00525076">
        <w:t xml:space="preserve"> casos</w:t>
      </w:r>
      <w:r w:rsidR="00D158C2" w:rsidRPr="00525076">
        <w:t xml:space="preserve"> cada uno</w:t>
      </w:r>
      <w:r w:rsidR="00C52290" w:rsidRPr="00525076">
        <w:t xml:space="preserve">; </w:t>
      </w:r>
      <w:r w:rsidR="004C3BD4" w:rsidRPr="00525076">
        <w:t>Amazonas, Cundinamarca,</w:t>
      </w:r>
      <w:r w:rsidR="00525076" w:rsidRPr="00525076">
        <w:t xml:space="preserve"> </w:t>
      </w:r>
      <w:r w:rsidR="002777DD" w:rsidRPr="00525076">
        <w:t>Santa Marta</w:t>
      </w:r>
      <w:r w:rsidR="00525076" w:rsidRPr="00525076">
        <w:t>, Santander</w:t>
      </w:r>
      <w:r w:rsidR="007A45BD" w:rsidRPr="00525076">
        <w:t xml:space="preserve"> y</w:t>
      </w:r>
      <w:r w:rsidR="002777DD" w:rsidRPr="00525076">
        <w:t xml:space="preserve"> Sucre</w:t>
      </w:r>
      <w:r w:rsidR="00D91641" w:rsidRPr="00525076">
        <w:t xml:space="preserve"> con 3 casos</w:t>
      </w:r>
      <w:r w:rsidR="002777DD" w:rsidRPr="00525076">
        <w:t xml:space="preserve"> cada uno</w:t>
      </w:r>
      <w:r w:rsidR="00D91641" w:rsidRPr="00525076">
        <w:t xml:space="preserve">; </w:t>
      </w:r>
      <w:r w:rsidR="00CE0590" w:rsidRPr="00525076">
        <w:t xml:space="preserve">Caquetá, </w:t>
      </w:r>
      <w:r w:rsidR="00525076" w:rsidRPr="00525076">
        <w:t xml:space="preserve">Casanare, </w:t>
      </w:r>
      <w:r w:rsidR="00E821E6" w:rsidRPr="00525076">
        <w:t>N</w:t>
      </w:r>
      <w:r w:rsidR="00C52290" w:rsidRPr="00525076">
        <w:t>ariño</w:t>
      </w:r>
      <w:r w:rsidR="00003D0C" w:rsidRPr="00525076">
        <w:t>, Norte de Santander</w:t>
      </w:r>
      <w:r w:rsidR="001E712B" w:rsidRPr="00525076">
        <w:t xml:space="preserve"> y </w:t>
      </w:r>
      <w:r w:rsidR="00525076" w:rsidRPr="00525076">
        <w:t>Valle del Cauca</w:t>
      </w:r>
      <w:r w:rsidR="00E821E6" w:rsidRPr="00525076">
        <w:t xml:space="preserve">, </w:t>
      </w:r>
      <w:r w:rsidR="0007642F" w:rsidRPr="00525076">
        <w:t>con 2 casos</w:t>
      </w:r>
      <w:r w:rsidR="009539D3" w:rsidRPr="00525076">
        <w:t xml:space="preserve"> cada uno</w:t>
      </w:r>
      <w:r w:rsidR="0007642F" w:rsidRPr="00525076">
        <w:t xml:space="preserve">; </w:t>
      </w:r>
      <w:r w:rsidR="001E712B" w:rsidRPr="008B5C0F">
        <w:t xml:space="preserve">Arauca, </w:t>
      </w:r>
      <w:r w:rsidR="009D2DE4" w:rsidRPr="008B5C0F">
        <w:t xml:space="preserve">Bolívar, </w:t>
      </w:r>
      <w:r w:rsidR="00C52290" w:rsidRPr="008B5C0F">
        <w:t xml:space="preserve">Boyacá, </w:t>
      </w:r>
      <w:r w:rsidR="009D2DE4" w:rsidRPr="008B5C0F">
        <w:t xml:space="preserve">Cali, </w:t>
      </w:r>
      <w:r w:rsidR="001E712B" w:rsidRPr="008B5C0F">
        <w:t xml:space="preserve">Cartagena, </w:t>
      </w:r>
      <w:r w:rsidR="00C52290" w:rsidRPr="008B5C0F">
        <w:t>Córdoba</w:t>
      </w:r>
      <w:r w:rsidR="007B5E68" w:rsidRPr="008B5C0F">
        <w:t xml:space="preserve">, </w:t>
      </w:r>
      <w:r w:rsidR="009C416D" w:rsidRPr="008B5C0F">
        <w:t>Guaviare</w:t>
      </w:r>
      <w:r w:rsidR="00525076" w:rsidRPr="008B5C0F">
        <w:t xml:space="preserve"> y</w:t>
      </w:r>
      <w:r w:rsidR="007B5E68" w:rsidRPr="008B5C0F">
        <w:t xml:space="preserve"> Magdalena</w:t>
      </w:r>
      <w:r w:rsidR="00A30981" w:rsidRPr="008B5C0F">
        <w:t xml:space="preserve">, </w:t>
      </w:r>
      <w:r w:rsidR="0007642F" w:rsidRPr="008B5C0F">
        <w:t>con 1 caso cada uno.</w:t>
      </w:r>
      <w:r w:rsidR="0007642F" w:rsidRPr="00603EA5">
        <w:t xml:space="preserve"> </w:t>
      </w:r>
    </w:p>
    <w:p w14:paraId="26DA565C" w14:textId="77777777" w:rsidR="00040704" w:rsidRPr="00603EA5" w:rsidRDefault="00040704" w:rsidP="00926522">
      <w:pPr>
        <w:jc w:val="both"/>
      </w:pPr>
    </w:p>
    <w:p w14:paraId="47A83110" w14:textId="271AE960" w:rsidR="009A52C4" w:rsidRPr="008E2581" w:rsidRDefault="009A52C4" w:rsidP="000E5797">
      <w:pPr>
        <w:spacing w:after="0"/>
      </w:pPr>
    </w:p>
    <w:sectPr w:rsidR="009A52C4" w:rsidRPr="008E25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814E2"/>
    <w:multiLevelType w:val="hybridMultilevel"/>
    <w:tmpl w:val="1C0E9F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671D5D"/>
    <w:multiLevelType w:val="hybridMultilevel"/>
    <w:tmpl w:val="79B6D6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6521843">
    <w:abstractNumId w:val="0"/>
  </w:num>
  <w:num w:numId="2" w16cid:durableId="1158574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829"/>
    <w:rsid w:val="00001CBC"/>
    <w:rsid w:val="00001E1E"/>
    <w:rsid w:val="00001F0E"/>
    <w:rsid w:val="00002964"/>
    <w:rsid w:val="00003401"/>
    <w:rsid w:val="00003AD4"/>
    <w:rsid w:val="00003B7C"/>
    <w:rsid w:val="00003C73"/>
    <w:rsid w:val="00003CFD"/>
    <w:rsid w:val="00003D0C"/>
    <w:rsid w:val="00004CC4"/>
    <w:rsid w:val="00004FFA"/>
    <w:rsid w:val="0000593B"/>
    <w:rsid w:val="00005EE6"/>
    <w:rsid w:val="0000660E"/>
    <w:rsid w:val="00006883"/>
    <w:rsid w:val="00006D86"/>
    <w:rsid w:val="00007045"/>
    <w:rsid w:val="00010619"/>
    <w:rsid w:val="00010650"/>
    <w:rsid w:val="00010EFC"/>
    <w:rsid w:val="00011450"/>
    <w:rsid w:val="0001148B"/>
    <w:rsid w:val="00011F06"/>
    <w:rsid w:val="000126B5"/>
    <w:rsid w:val="00013446"/>
    <w:rsid w:val="00013975"/>
    <w:rsid w:val="00013E19"/>
    <w:rsid w:val="00014737"/>
    <w:rsid w:val="00014779"/>
    <w:rsid w:val="000152F8"/>
    <w:rsid w:val="00015398"/>
    <w:rsid w:val="00015715"/>
    <w:rsid w:val="00015D43"/>
    <w:rsid w:val="00016156"/>
    <w:rsid w:val="000165B0"/>
    <w:rsid w:val="00016DD9"/>
    <w:rsid w:val="00016EB0"/>
    <w:rsid w:val="0001703B"/>
    <w:rsid w:val="0001707C"/>
    <w:rsid w:val="0001755A"/>
    <w:rsid w:val="00020E42"/>
    <w:rsid w:val="00020F8E"/>
    <w:rsid w:val="0002165A"/>
    <w:rsid w:val="0002225D"/>
    <w:rsid w:val="000227EC"/>
    <w:rsid w:val="00022C6A"/>
    <w:rsid w:val="00022CE1"/>
    <w:rsid w:val="00022D97"/>
    <w:rsid w:val="000230A0"/>
    <w:rsid w:val="00023139"/>
    <w:rsid w:val="000231D5"/>
    <w:rsid w:val="00023DAF"/>
    <w:rsid w:val="000240EF"/>
    <w:rsid w:val="00024118"/>
    <w:rsid w:val="000247BE"/>
    <w:rsid w:val="00024BA9"/>
    <w:rsid w:val="0002560E"/>
    <w:rsid w:val="00025750"/>
    <w:rsid w:val="00025A0C"/>
    <w:rsid w:val="00025DDB"/>
    <w:rsid w:val="0002618D"/>
    <w:rsid w:val="000263C8"/>
    <w:rsid w:val="00026881"/>
    <w:rsid w:val="00026E08"/>
    <w:rsid w:val="000272EC"/>
    <w:rsid w:val="00027710"/>
    <w:rsid w:val="00027BE1"/>
    <w:rsid w:val="00027D82"/>
    <w:rsid w:val="00030515"/>
    <w:rsid w:val="00030588"/>
    <w:rsid w:val="00030982"/>
    <w:rsid w:val="00030FCE"/>
    <w:rsid w:val="00030FD2"/>
    <w:rsid w:val="00031122"/>
    <w:rsid w:val="000312E0"/>
    <w:rsid w:val="0003131A"/>
    <w:rsid w:val="00031430"/>
    <w:rsid w:val="000318B5"/>
    <w:rsid w:val="00031C1B"/>
    <w:rsid w:val="00032387"/>
    <w:rsid w:val="00032664"/>
    <w:rsid w:val="00032915"/>
    <w:rsid w:val="0003296D"/>
    <w:rsid w:val="000333C6"/>
    <w:rsid w:val="000338EB"/>
    <w:rsid w:val="00033E7B"/>
    <w:rsid w:val="00034536"/>
    <w:rsid w:val="000345BE"/>
    <w:rsid w:val="000346EE"/>
    <w:rsid w:val="00034CBD"/>
    <w:rsid w:val="00034FDA"/>
    <w:rsid w:val="000352BF"/>
    <w:rsid w:val="00036218"/>
    <w:rsid w:val="00036561"/>
    <w:rsid w:val="00037061"/>
    <w:rsid w:val="00037112"/>
    <w:rsid w:val="00037CAC"/>
    <w:rsid w:val="00037F21"/>
    <w:rsid w:val="00040704"/>
    <w:rsid w:val="00040B70"/>
    <w:rsid w:val="00040D1D"/>
    <w:rsid w:val="00041361"/>
    <w:rsid w:val="0004179A"/>
    <w:rsid w:val="00041994"/>
    <w:rsid w:val="00041C5A"/>
    <w:rsid w:val="00041F67"/>
    <w:rsid w:val="00042255"/>
    <w:rsid w:val="00042386"/>
    <w:rsid w:val="00043538"/>
    <w:rsid w:val="0004389B"/>
    <w:rsid w:val="0004435F"/>
    <w:rsid w:val="00044C53"/>
    <w:rsid w:val="00044EC0"/>
    <w:rsid w:val="00044F20"/>
    <w:rsid w:val="00045115"/>
    <w:rsid w:val="00045562"/>
    <w:rsid w:val="00045F10"/>
    <w:rsid w:val="000468B2"/>
    <w:rsid w:val="00046F32"/>
    <w:rsid w:val="000503C5"/>
    <w:rsid w:val="000512F1"/>
    <w:rsid w:val="00051B2B"/>
    <w:rsid w:val="0005213B"/>
    <w:rsid w:val="0005240F"/>
    <w:rsid w:val="00052744"/>
    <w:rsid w:val="00052A28"/>
    <w:rsid w:val="000533B8"/>
    <w:rsid w:val="00053717"/>
    <w:rsid w:val="00053C1E"/>
    <w:rsid w:val="00053CAA"/>
    <w:rsid w:val="00053D59"/>
    <w:rsid w:val="00054A99"/>
    <w:rsid w:val="00055983"/>
    <w:rsid w:val="00055D70"/>
    <w:rsid w:val="00056396"/>
    <w:rsid w:val="00056550"/>
    <w:rsid w:val="000572A8"/>
    <w:rsid w:val="000577EC"/>
    <w:rsid w:val="00057AA4"/>
    <w:rsid w:val="0006002E"/>
    <w:rsid w:val="000601FC"/>
    <w:rsid w:val="000603A1"/>
    <w:rsid w:val="00060CF1"/>
    <w:rsid w:val="00061212"/>
    <w:rsid w:val="000614A5"/>
    <w:rsid w:val="0006167A"/>
    <w:rsid w:val="00061C30"/>
    <w:rsid w:val="00061DDF"/>
    <w:rsid w:val="00061E0F"/>
    <w:rsid w:val="0006210C"/>
    <w:rsid w:val="00062327"/>
    <w:rsid w:val="00063668"/>
    <w:rsid w:val="000638D5"/>
    <w:rsid w:val="00063E04"/>
    <w:rsid w:val="00064091"/>
    <w:rsid w:val="00064727"/>
    <w:rsid w:val="000652E8"/>
    <w:rsid w:val="000659FB"/>
    <w:rsid w:val="00065B0A"/>
    <w:rsid w:val="000664F8"/>
    <w:rsid w:val="00067240"/>
    <w:rsid w:val="00067A24"/>
    <w:rsid w:val="00070068"/>
    <w:rsid w:val="000706DA"/>
    <w:rsid w:val="000710C6"/>
    <w:rsid w:val="000714BD"/>
    <w:rsid w:val="0007154C"/>
    <w:rsid w:val="00071C6E"/>
    <w:rsid w:val="00072B67"/>
    <w:rsid w:val="00072E81"/>
    <w:rsid w:val="000734FC"/>
    <w:rsid w:val="0007380E"/>
    <w:rsid w:val="00074129"/>
    <w:rsid w:val="0007438E"/>
    <w:rsid w:val="00074807"/>
    <w:rsid w:val="00074856"/>
    <w:rsid w:val="00074CF3"/>
    <w:rsid w:val="00075080"/>
    <w:rsid w:val="000750ED"/>
    <w:rsid w:val="000750F9"/>
    <w:rsid w:val="000754D6"/>
    <w:rsid w:val="00075921"/>
    <w:rsid w:val="00075A8F"/>
    <w:rsid w:val="0007642F"/>
    <w:rsid w:val="000766F9"/>
    <w:rsid w:val="00076BB6"/>
    <w:rsid w:val="000771BC"/>
    <w:rsid w:val="000774CA"/>
    <w:rsid w:val="00077BA1"/>
    <w:rsid w:val="00081568"/>
    <w:rsid w:val="000815F9"/>
    <w:rsid w:val="000825FC"/>
    <w:rsid w:val="00082821"/>
    <w:rsid w:val="0008363B"/>
    <w:rsid w:val="000839BA"/>
    <w:rsid w:val="00083F77"/>
    <w:rsid w:val="00084379"/>
    <w:rsid w:val="000843B6"/>
    <w:rsid w:val="000847FB"/>
    <w:rsid w:val="00084AE7"/>
    <w:rsid w:val="00084D77"/>
    <w:rsid w:val="00084F0F"/>
    <w:rsid w:val="0008570E"/>
    <w:rsid w:val="000862CF"/>
    <w:rsid w:val="0008643D"/>
    <w:rsid w:val="000864AB"/>
    <w:rsid w:val="0008676F"/>
    <w:rsid w:val="00086A1E"/>
    <w:rsid w:val="00086B0F"/>
    <w:rsid w:val="000875F7"/>
    <w:rsid w:val="0008769E"/>
    <w:rsid w:val="0008775E"/>
    <w:rsid w:val="00087A84"/>
    <w:rsid w:val="00087AF4"/>
    <w:rsid w:val="00087E05"/>
    <w:rsid w:val="00090B2B"/>
    <w:rsid w:val="00090C4D"/>
    <w:rsid w:val="0009125B"/>
    <w:rsid w:val="00091305"/>
    <w:rsid w:val="0009132D"/>
    <w:rsid w:val="00091360"/>
    <w:rsid w:val="0009146E"/>
    <w:rsid w:val="000914EB"/>
    <w:rsid w:val="00092303"/>
    <w:rsid w:val="000923C8"/>
    <w:rsid w:val="0009244D"/>
    <w:rsid w:val="00093A81"/>
    <w:rsid w:val="00093B74"/>
    <w:rsid w:val="0009422D"/>
    <w:rsid w:val="00094CE3"/>
    <w:rsid w:val="00094DDB"/>
    <w:rsid w:val="00094EA9"/>
    <w:rsid w:val="000952E2"/>
    <w:rsid w:val="00095BE9"/>
    <w:rsid w:val="00095C94"/>
    <w:rsid w:val="00095D6F"/>
    <w:rsid w:val="0009621B"/>
    <w:rsid w:val="000965E2"/>
    <w:rsid w:val="00096903"/>
    <w:rsid w:val="000973EB"/>
    <w:rsid w:val="00097C13"/>
    <w:rsid w:val="00097F12"/>
    <w:rsid w:val="00097F1D"/>
    <w:rsid w:val="000A03CE"/>
    <w:rsid w:val="000A0B18"/>
    <w:rsid w:val="000A157D"/>
    <w:rsid w:val="000A178B"/>
    <w:rsid w:val="000A1E2B"/>
    <w:rsid w:val="000A1F13"/>
    <w:rsid w:val="000A231A"/>
    <w:rsid w:val="000A25F2"/>
    <w:rsid w:val="000A2FAE"/>
    <w:rsid w:val="000A30E6"/>
    <w:rsid w:val="000A3185"/>
    <w:rsid w:val="000A327E"/>
    <w:rsid w:val="000A3310"/>
    <w:rsid w:val="000A3534"/>
    <w:rsid w:val="000A3C63"/>
    <w:rsid w:val="000A42D4"/>
    <w:rsid w:val="000A4C3E"/>
    <w:rsid w:val="000A4CA7"/>
    <w:rsid w:val="000A4F98"/>
    <w:rsid w:val="000A542E"/>
    <w:rsid w:val="000A5892"/>
    <w:rsid w:val="000A61BE"/>
    <w:rsid w:val="000A61C1"/>
    <w:rsid w:val="000A62F0"/>
    <w:rsid w:val="000A6C8D"/>
    <w:rsid w:val="000A73BB"/>
    <w:rsid w:val="000A794E"/>
    <w:rsid w:val="000B0AC8"/>
    <w:rsid w:val="000B0D76"/>
    <w:rsid w:val="000B0FAD"/>
    <w:rsid w:val="000B145E"/>
    <w:rsid w:val="000B16C1"/>
    <w:rsid w:val="000B173B"/>
    <w:rsid w:val="000B18ED"/>
    <w:rsid w:val="000B25C4"/>
    <w:rsid w:val="000B264D"/>
    <w:rsid w:val="000B374F"/>
    <w:rsid w:val="000B3B17"/>
    <w:rsid w:val="000B3BA3"/>
    <w:rsid w:val="000B4225"/>
    <w:rsid w:val="000B6789"/>
    <w:rsid w:val="000B68AC"/>
    <w:rsid w:val="000B710F"/>
    <w:rsid w:val="000B7312"/>
    <w:rsid w:val="000B76D0"/>
    <w:rsid w:val="000B7707"/>
    <w:rsid w:val="000B787F"/>
    <w:rsid w:val="000C0267"/>
    <w:rsid w:val="000C071A"/>
    <w:rsid w:val="000C086D"/>
    <w:rsid w:val="000C1018"/>
    <w:rsid w:val="000C1677"/>
    <w:rsid w:val="000C1AE6"/>
    <w:rsid w:val="000C1CF0"/>
    <w:rsid w:val="000C1E27"/>
    <w:rsid w:val="000C1FB1"/>
    <w:rsid w:val="000C2245"/>
    <w:rsid w:val="000C22EE"/>
    <w:rsid w:val="000C296B"/>
    <w:rsid w:val="000C2D8B"/>
    <w:rsid w:val="000C321F"/>
    <w:rsid w:val="000C40E4"/>
    <w:rsid w:val="000C41DC"/>
    <w:rsid w:val="000C4A1B"/>
    <w:rsid w:val="000C4E75"/>
    <w:rsid w:val="000C5218"/>
    <w:rsid w:val="000C5742"/>
    <w:rsid w:val="000C5B91"/>
    <w:rsid w:val="000C5C49"/>
    <w:rsid w:val="000C5E01"/>
    <w:rsid w:val="000C65F5"/>
    <w:rsid w:val="000C6AB5"/>
    <w:rsid w:val="000C6C01"/>
    <w:rsid w:val="000C6E9C"/>
    <w:rsid w:val="000C7095"/>
    <w:rsid w:val="000C74CC"/>
    <w:rsid w:val="000C7A75"/>
    <w:rsid w:val="000C7D7F"/>
    <w:rsid w:val="000C7DE6"/>
    <w:rsid w:val="000C7F38"/>
    <w:rsid w:val="000C7FE1"/>
    <w:rsid w:val="000D1125"/>
    <w:rsid w:val="000D1A0A"/>
    <w:rsid w:val="000D2F8A"/>
    <w:rsid w:val="000D351F"/>
    <w:rsid w:val="000D37D4"/>
    <w:rsid w:val="000D39DF"/>
    <w:rsid w:val="000D3B45"/>
    <w:rsid w:val="000D4D29"/>
    <w:rsid w:val="000D5636"/>
    <w:rsid w:val="000D5DBB"/>
    <w:rsid w:val="000D634D"/>
    <w:rsid w:val="000D639F"/>
    <w:rsid w:val="000D6ECA"/>
    <w:rsid w:val="000D7147"/>
    <w:rsid w:val="000D79E2"/>
    <w:rsid w:val="000D7FBA"/>
    <w:rsid w:val="000E00B3"/>
    <w:rsid w:val="000E00C5"/>
    <w:rsid w:val="000E0683"/>
    <w:rsid w:val="000E0A40"/>
    <w:rsid w:val="000E1721"/>
    <w:rsid w:val="000E1887"/>
    <w:rsid w:val="000E2053"/>
    <w:rsid w:val="000E2755"/>
    <w:rsid w:val="000E2B43"/>
    <w:rsid w:val="000E2EB7"/>
    <w:rsid w:val="000E3117"/>
    <w:rsid w:val="000E33B4"/>
    <w:rsid w:val="000E394E"/>
    <w:rsid w:val="000E3B53"/>
    <w:rsid w:val="000E4821"/>
    <w:rsid w:val="000E4EDB"/>
    <w:rsid w:val="000E516F"/>
    <w:rsid w:val="000E538B"/>
    <w:rsid w:val="000E5797"/>
    <w:rsid w:val="000E58B3"/>
    <w:rsid w:val="000E5923"/>
    <w:rsid w:val="000E598E"/>
    <w:rsid w:val="000E5A2C"/>
    <w:rsid w:val="000E5F57"/>
    <w:rsid w:val="000E6357"/>
    <w:rsid w:val="000E7089"/>
    <w:rsid w:val="000E779C"/>
    <w:rsid w:val="000F031B"/>
    <w:rsid w:val="000F0653"/>
    <w:rsid w:val="000F0909"/>
    <w:rsid w:val="000F0AB8"/>
    <w:rsid w:val="000F0C3D"/>
    <w:rsid w:val="000F0D7A"/>
    <w:rsid w:val="000F0E72"/>
    <w:rsid w:val="000F1986"/>
    <w:rsid w:val="000F1A89"/>
    <w:rsid w:val="000F20F8"/>
    <w:rsid w:val="000F20FA"/>
    <w:rsid w:val="000F36B8"/>
    <w:rsid w:val="000F3E1A"/>
    <w:rsid w:val="000F417E"/>
    <w:rsid w:val="000F42F1"/>
    <w:rsid w:val="000F454C"/>
    <w:rsid w:val="000F47CF"/>
    <w:rsid w:val="000F4A83"/>
    <w:rsid w:val="000F4B95"/>
    <w:rsid w:val="000F4DD1"/>
    <w:rsid w:val="000F5409"/>
    <w:rsid w:val="000F55B8"/>
    <w:rsid w:val="000F58DC"/>
    <w:rsid w:val="000F5B44"/>
    <w:rsid w:val="000F6189"/>
    <w:rsid w:val="000F6CB8"/>
    <w:rsid w:val="000F75FB"/>
    <w:rsid w:val="000F7606"/>
    <w:rsid w:val="000F79E3"/>
    <w:rsid w:val="00100EF9"/>
    <w:rsid w:val="0010174D"/>
    <w:rsid w:val="00101808"/>
    <w:rsid w:val="00101925"/>
    <w:rsid w:val="001025E5"/>
    <w:rsid w:val="00102685"/>
    <w:rsid w:val="00102DDB"/>
    <w:rsid w:val="00103F6B"/>
    <w:rsid w:val="00104478"/>
    <w:rsid w:val="00104542"/>
    <w:rsid w:val="0010455E"/>
    <w:rsid w:val="001055F8"/>
    <w:rsid w:val="001062B6"/>
    <w:rsid w:val="001070AE"/>
    <w:rsid w:val="0010738E"/>
    <w:rsid w:val="00107494"/>
    <w:rsid w:val="001076FC"/>
    <w:rsid w:val="00107B72"/>
    <w:rsid w:val="00107C10"/>
    <w:rsid w:val="00111125"/>
    <w:rsid w:val="00111928"/>
    <w:rsid w:val="00111931"/>
    <w:rsid w:val="00111E72"/>
    <w:rsid w:val="00112182"/>
    <w:rsid w:val="001136AB"/>
    <w:rsid w:val="00113CB1"/>
    <w:rsid w:val="00114A7B"/>
    <w:rsid w:val="00114B5F"/>
    <w:rsid w:val="001159C9"/>
    <w:rsid w:val="00116315"/>
    <w:rsid w:val="00116478"/>
    <w:rsid w:val="00116698"/>
    <w:rsid w:val="001169E9"/>
    <w:rsid w:val="00116C02"/>
    <w:rsid w:val="00117244"/>
    <w:rsid w:val="001172E6"/>
    <w:rsid w:val="00117A75"/>
    <w:rsid w:val="00117DD8"/>
    <w:rsid w:val="00117FF9"/>
    <w:rsid w:val="00120243"/>
    <w:rsid w:val="0012064C"/>
    <w:rsid w:val="001209FE"/>
    <w:rsid w:val="00120AAC"/>
    <w:rsid w:val="00120D8E"/>
    <w:rsid w:val="00120EBD"/>
    <w:rsid w:val="00122151"/>
    <w:rsid w:val="00122604"/>
    <w:rsid w:val="00122A7B"/>
    <w:rsid w:val="00122C70"/>
    <w:rsid w:val="00123223"/>
    <w:rsid w:val="00123494"/>
    <w:rsid w:val="001238C3"/>
    <w:rsid w:val="00123BAA"/>
    <w:rsid w:val="00124425"/>
    <w:rsid w:val="001245A4"/>
    <w:rsid w:val="00125F59"/>
    <w:rsid w:val="0012658A"/>
    <w:rsid w:val="00126806"/>
    <w:rsid w:val="001274AA"/>
    <w:rsid w:val="00130393"/>
    <w:rsid w:val="001304E5"/>
    <w:rsid w:val="00130722"/>
    <w:rsid w:val="0013083D"/>
    <w:rsid w:val="00130F0D"/>
    <w:rsid w:val="00131024"/>
    <w:rsid w:val="00131693"/>
    <w:rsid w:val="0013189A"/>
    <w:rsid w:val="00131AEE"/>
    <w:rsid w:val="00131FE9"/>
    <w:rsid w:val="001333DB"/>
    <w:rsid w:val="00133480"/>
    <w:rsid w:val="001336FD"/>
    <w:rsid w:val="00133930"/>
    <w:rsid w:val="00133D07"/>
    <w:rsid w:val="00133EE1"/>
    <w:rsid w:val="0013461F"/>
    <w:rsid w:val="00135262"/>
    <w:rsid w:val="0013571A"/>
    <w:rsid w:val="001359B6"/>
    <w:rsid w:val="00135D76"/>
    <w:rsid w:val="00135ED0"/>
    <w:rsid w:val="00136758"/>
    <w:rsid w:val="00136B2B"/>
    <w:rsid w:val="00136B3A"/>
    <w:rsid w:val="00137303"/>
    <w:rsid w:val="00140FEE"/>
    <w:rsid w:val="00141853"/>
    <w:rsid w:val="00141BC3"/>
    <w:rsid w:val="00141D06"/>
    <w:rsid w:val="00142170"/>
    <w:rsid w:val="001423F6"/>
    <w:rsid w:val="001435AE"/>
    <w:rsid w:val="001435D6"/>
    <w:rsid w:val="0014375E"/>
    <w:rsid w:val="001438F3"/>
    <w:rsid w:val="001439E0"/>
    <w:rsid w:val="0014480E"/>
    <w:rsid w:val="00144987"/>
    <w:rsid w:val="00145AC4"/>
    <w:rsid w:val="00145F5F"/>
    <w:rsid w:val="00145FB7"/>
    <w:rsid w:val="00146004"/>
    <w:rsid w:val="001461AC"/>
    <w:rsid w:val="00146594"/>
    <w:rsid w:val="00146B9E"/>
    <w:rsid w:val="00146C6D"/>
    <w:rsid w:val="00146DCB"/>
    <w:rsid w:val="0014735F"/>
    <w:rsid w:val="0015043E"/>
    <w:rsid w:val="00150649"/>
    <w:rsid w:val="00150B9E"/>
    <w:rsid w:val="00150BE4"/>
    <w:rsid w:val="00150F70"/>
    <w:rsid w:val="00151AEA"/>
    <w:rsid w:val="00152483"/>
    <w:rsid w:val="00153CE0"/>
    <w:rsid w:val="00154D63"/>
    <w:rsid w:val="0015536C"/>
    <w:rsid w:val="0015594B"/>
    <w:rsid w:val="00155CEB"/>
    <w:rsid w:val="00155EF5"/>
    <w:rsid w:val="001560ED"/>
    <w:rsid w:val="001566E8"/>
    <w:rsid w:val="001574F9"/>
    <w:rsid w:val="00157E85"/>
    <w:rsid w:val="00160168"/>
    <w:rsid w:val="001602CC"/>
    <w:rsid w:val="0016096A"/>
    <w:rsid w:val="00160985"/>
    <w:rsid w:val="00160E24"/>
    <w:rsid w:val="00161112"/>
    <w:rsid w:val="0016179C"/>
    <w:rsid w:val="001619BF"/>
    <w:rsid w:val="00161D29"/>
    <w:rsid w:val="00162315"/>
    <w:rsid w:val="00162D00"/>
    <w:rsid w:val="00163C27"/>
    <w:rsid w:val="00163E41"/>
    <w:rsid w:val="001642E2"/>
    <w:rsid w:val="00164316"/>
    <w:rsid w:val="00164A8B"/>
    <w:rsid w:val="0016523C"/>
    <w:rsid w:val="00165286"/>
    <w:rsid w:val="00165593"/>
    <w:rsid w:val="00165783"/>
    <w:rsid w:val="00165EB3"/>
    <w:rsid w:val="001662D8"/>
    <w:rsid w:val="00166749"/>
    <w:rsid w:val="00166AE6"/>
    <w:rsid w:val="00167805"/>
    <w:rsid w:val="00167872"/>
    <w:rsid w:val="00170383"/>
    <w:rsid w:val="00170395"/>
    <w:rsid w:val="00170961"/>
    <w:rsid w:val="001709E8"/>
    <w:rsid w:val="00170BA2"/>
    <w:rsid w:val="00170BD3"/>
    <w:rsid w:val="001718DE"/>
    <w:rsid w:val="00171D82"/>
    <w:rsid w:val="00172103"/>
    <w:rsid w:val="001725A0"/>
    <w:rsid w:val="00172858"/>
    <w:rsid w:val="00172A77"/>
    <w:rsid w:val="00172C16"/>
    <w:rsid w:val="00172C24"/>
    <w:rsid w:val="001731F0"/>
    <w:rsid w:val="00173257"/>
    <w:rsid w:val="0017344D"/>
    <w:rsid w:val="00173F54"/>
    <w:rsid w:val="001741DF"/>
    <w:rsid w:val="00174A53"/>
    <w:rsid w:val="00174C9C"/>
    <w:rsid w:val="00174D25"/>
    <w:rsid w:val="00175513"/>
    <w:rsid w:val="0017555C"/>
    <w:rsid w:val="001760F5"/>
    <w:rsid w:val="001762B0"/>
    <w:rsid w:val="001767FF"/>
    <w:rsid w:val="00176884"/>
    <w:rsid w:val="001776A6"/>
    <w:rsid w:val="001778CF"/>
    <w:rsid w:val="00177BA7"/>
    <w:rsid w:val="001800CE"/>
    <w:rsid w:val="00180E35"/>
    <w:rsid w:val="00181145"/>
    <w:rsid w:val="00181898"/>
    <w:rsid w:val="00181D72"/>
    <w:rsid w:val="001825EF"/>
    <w:rsid w:val="00183986"/>
    <w:rsid w:val="00183A6B"/>
    <w:rsid w:val="00183C25"/>
    <w:rsid w:val="00183FF8"/>
    <w:rsid w:val="00184077"/>
    <w:rsid w:val="00184759"/>
    <w:rsid w:val="0018506A"/>
    <w:rsid w:val="0018559D"/>
    <w:rsid w:val="0018628A"/>
    <w:rsid w:val="00186419"/>
    <w:rsid w:val="001865A8"/>
    <w:rsid w:val="0018661F"/>
    <w:rsid w:val="001866A0"/>
    <w:rsid w:val="001866D2"/>
    <w:rsid w:val="001867EC"/>
    <w:rsid w:val="00187B69"/>
    <w:rsid w:val="00187F9B"/>
    <w:rsid w:val="001904D2"/>
    <w:rsid w:val="00190715"/>
    <w:rsid w:val="001920EE"/>
    <w:rsid w:val="0019240A"/>
    <w:rsid w:val="00192C9D"/>
    <w:rsid w:val="00192CD1"/>
    <w:rsid w:val="00192FA9"/>
    <w:rsid w:val="00193236"/>
    <w:rsid w:val="00193458"/>
    <w:rsid w:val="00193479"/>
    <w:rsid w:val="00193A80"/>
    <w:rsid w:val="00193AF3"/>
    <w:rsid w:val="001949DC"/>
    <w:rsid w:val="00194B34"/>
    <w:rsid w:val="00194F8D"/>
    <w:rsid w:val="00195521"/>
    <w:rsid w:val="0019623D"/>
    <w:rsid w:val="0019634B"/>
    <w:rsid w:val="00196427"/>
    <w:rsid w:val="00196523"/>
    <w:rsid w:val="00196ADC"/>
    <w:rsid w:val="00196B19"/>
    <w:rsid w:val="0019730B"/>
    <w:rsid w:val="00197449"/>
    <w:rsid w:val="001A0710"/>
    <w:rsid w:val="001A0FB1"/>
    <w:rsid w:val="001A1D68"/>
    <w:rsid w:val="001A1F37"/>
    <w:rsid w:val="001A1FF6"/>
    <w:rsid w:val="001A27EA"/>
    <w:rsid w:val="001A2A3C"/>
    <w:rsid w:val="001A3065"/>
    <w:rsid w:val="001A32ED"/>
    <w:rsid w:val="001A3307"/>
    <w:rsid w:val="001A3538"/>
    <w:rsid w:val="001A4C74"/>
    <w:rsid w:val="001A5194"/>
    <w:rsid w:val="001A61E3"/>
    <w:rsid w:val="001A632F"/>
    <w:rsid w:val="001A6378"/>
    <w:rsid w:val="001A6572"/>
    <w:rsid w:val="001A6D41"/>
    <w:rsid w:val="001A6EDD"/>
    <w:rsid w:val="001A7034"/>
    <w:rsid w:val="001A711A"/>
    <w:rsid w:val="001A71EA"/>
    <w:rsid w:val="001A7592"/>
    <w:rsid w:val="001B0526"/>
    <w:rsid w:val="001B068A"/>
    <w:rsid w:val="001B0A6A"/>
    <w:rsid w:val="001B0A6F"/>
    <w:rsid w:val="001B0E9D"/>
    <w:rsid w:val="001B0EE1"/>
    <w:rsid w:val="001B1090"/>
    <w:rsid w:val="001B14A4"/>
    <w:rsid w:val="001B19B0"/>
    <w:rsid w:val="001B1AC2"/>
    <w:rsid w:val="001B2447"/>
    <w:rsid w:val="001B294C"/>
    <w:rsid w:val="001B30C2"/>
    <w:rsid w:val="001B3119"/>
    <w:rsid w:val="001B4C3E"/>
    <w:rsid w:val="001B5CA0"/>
    <w:rsid w:val="001B5CFC"/>
    <w:rsid w:val="001B5DB8"/>
    <w:rsid w:val="001B63CF"/>
    <w:rsid w:val="001B6A80"/>
    <w:rsid w:val="001B7105"/>
    <w:rsid w:val="001B7361"/>
    <w:rsid w:val="001B75B5"/>
    <w:rsid w:val="001B7A13"/>
    <w:rsid w:val="001C0027"/>
    <w:rsid w:val="001C010B"/>
    <w:rsid w:val="001C077A"/>
    <w:rsid w:val="001C125C"/>
    <w:rsid w:val="001C1724"/>
    <w:rsid w:val="001C1893"/>
    <w:rsid w:val="001C1D19"/>
    <w:rsid w:val="001C1DFF"/>
    <w:rsid w:val="001C2195"/>
    <w:rsid w:val="001C2648"/>
    <w:rsid w:val="001C2904"/>
    <w:rsid w:val="001C2DF0"/>
    <w:rsid w:val="001C3A10"/>
    <w:rsid w:val="001C3B49"/>
    <w:rsid w:val="001C4334"/>
    <w:rsid w:val="001C4625"/>
    <w:rsid w:val="001C4725"/>
    <w:rsid w:val="001C49BB"/>
    <w:rsid w:val="001C5030"/>
    <w:rsid w:val="001C53ED"/>
    <w:rsid w:val="001C54F3"/>
    <w:rsid w:val="001C5B72"/>
    <w:rsid w:val="001C6661"/>
    <w:rsid w:val="001C6B49"/>
    <w:rsid w:val="001C7104"/>
    <w:rsid w:val="001C71F4"/>
    <w:rsid w:val="001C755E"/>
    <w:rsid w:val="001C7962"/>
    <w:rsid w:val="001C7DD1"/>
    <w:rsid w:val="001C7E57"/>
    <w:rsid w:val="001D0389"/>
    <w:rsid w:val="001D0A71"/>
    <w:rsid w:val="001D13E3"/>
    <w:rsid w:val="001D1FC7"/>
    <w:rsid w:val="001D2214"/>
    <w:rsid w:val="001D22DE"/>
    <w:rsid w:val="001D26CB"/>
    <w:rsid w:val="001D27D9"/>
    <w:rsid w:val="001D2BC5"/>
    <w:rsid w:val="001D2E38"/>
    <w:rsid w:val="001D3090"/>
    <w:rsid w:val="001D3B6B"/>
    <w:rsid w:val="001D45FD"/>
    <w:rsid w:val="001D4FDA"/>
    <w:rsid w:val="001D52F8"/>
    <w:rsid w:val="001D53F8"/>
    <w:rsid w:val="001D5D2C"/>
    <w:rsid w:val="001D6145"/>
    <w:rsid w:val="001D6A67"/>
    <w:rsid w:val="001D6D5A"/>
    <w:rsid w:val="001D6DC0"/>
    <w:rsid w:val="001D6F3A"/>
    <w:rsid w:val="001D7592"/>
    <w:rsid w:val="001D7E8E"/>
    <w:rsid w:val="001E03BB"/>
    <w:rsid w:val="001E061E"/>
    <w:rsid w:val="001E0916"/>
    <w:rsid w:val="001E0CF3"/>
    <w:rsid w:val="001E1263"/>
    <w:rsid w:val="001E1DE9"/>
    <w:rsid w:val="001E1F3B"/>
    <w:rsid w:val="001E26F5"/>
    <w:rsid w:val="001E337C"/>
    <w:rsid w:val="001E38ED"/>
    <w:rsid w:val="001E4203"/>
    <w:rsid w:val="001E4632"/>
    <w:rsid w:val="001E5477"/>
    <w:rsid w:val="001E5B91"/>
    <w:rsid w:val="001E5EA2"/>
    <w:rsid w:val="001E6431"/>
    <w:rsid w:val="001E67B2"/>
    <w:rsid w:val="001E6944"/>
    <w:rsid w:val="001E6AB2"/>
    <w:rsid w:val="001E6ABA"/>
    <w:rsid w:val="001E712B"/>
    <w:rsid w:val="001E74E8"/>
    <w:rsid w:val="001E7C46"/>
    <w:rsid w:val="001E7EF3"/>
    <w:rsid w:val="001F027D"/>
    <w:rsid w:val="001F0334"/>
    <w:rsid w:val="001F0D0A"/>
    <w:rsid w:val="001F0ED5"/>
    <w:rsid w:val="001F1216"/>
    <w:rsid w:val="001F1C97"/>
    <w:rsid w:val="001F1E8E"/>
    <w:rsid w:val="001F2B03"/>
    <w:rsid w:val="001F30A9"/>
    <w:rsid w:val="001F3373"/>
    <w:rsid w:val="001F3946"/>
    <w:rsid w:val="001F3FC0"/>
    <w:rsid w:val="001F5137"/>
    <w:rsid w:val="001F51CF"/>
    <w:rsid w:val="001F5865"/>
    <w:rsid w:val="001F5AAD"/>
    <w:rsid w:val="001F5C4A"/>
    <w:rsid w:val="001F5F0E"/>
    <w:rsid w:val="001F64F7"/>
    <w:rsid w:val="001F6789"/>
    <w:rsid w:val="001F6925"/>
    <w:rsid w:val="001F6B3E"/>
    <w:rsid w:val="001F7479"/>
    <w:rsid w:val="001F77FE"/>
    <w:rsid w:val="001F790C"/>
    <w:rsid w:val="001F7E08"/>
    <w:rsid w:val="00200834"/>
    <w:rsid w:val="002017AE"/>
    <w:rsid w:val="00201CBA"/>
    <w:rsid w:val="00201F2E"/>
    <w:rsid w:val="00202281"/>
    <w:rsid w:val="0020271F"/>
    <w:rsid w:val="00202BFC"/>
    <w:rsid w:val="0020357A"/>
    <w:rsid w:val="00203B0F"/>
    <w:rsid w:val="00203D86"/>
    <w:rsid w:val="00203DB4"/>
    <w:rsid w:val="00204271"/>
    <w:rsid w:val="002043C2"/>
    <w:rsid w:val="00204A80"/>
    <w:rsid w:val="00204C09"/>
    <w:rsid w:val="00205049"/>
    <w:rsid w:val="002051D4"/>
    <w:rsid w:val="00205C70"/>
    <w:rsid w:val="00206447"/>
    <w:rsid w:val="0020663D"/>
    <w:rsid w:val="0020675B"/>
    <w:rsid w:val="00206E6F"/>
    <w:rsid w:val="0020764C"/>
    <w:rsid w:val="002104A3"/>
    <w:rsid w:val="00210594"/>
    <w:rsid w:val="0021136B"/>
    <w:rsid w:val="0021181B"/>
    <w:rsid w:val="00211CEE"/>
    <w:rsid w:val="00212972"/>
    <w:rsid w:val="00212BD5"/>
    <w:rsid w:val="00212D4B"/>
    <w:rsid w:val="00213E25"/>
    <w:rsid w:val="002142F9"/>
    <w:rsid w:val="00214748"/>
    <w:rsid w:val="00214954"/>
    <w:rsid w:val="00214B08"/>
    <w:rsid w:val="00214DFD"/>
    <w:rsid w:val="002153AF"/>
    <w:rsid w:val="002153C6"/>
    <w:rsid w:val="002154E4"/>
    <w:rsid w:val="00215EAD"/>
    <w:rsid w:val="00216C1F"/>
    <w:rsid w:val="00217055"/>
    <w:rsid w:val="002171F4"/>
    <w:rsid w:val="0021762C"/>
    <w:rsid w:val="002177D6"/>
    <w:rsid w:val="00220576"/>
    <w:rsid w:val="00220A25"/>
    <w:rsid w:val="00220B8B"/>
    <w:rsid w:val="00221055"/>
    <w:rsid w:val="0022120B"/>
    <w:rsid w:val="00221997"/>
    <w:rsid w:val="00221F28"/>
    <w:rsid w:val="00221FF7"/>
    <w:rsid w:val="002224FB"/>
    <w:rsid w:val="002229CA"/>
    <w:rsid w:val="002230B5"/>
    <w:rsid w:val="00223F4C"/>
    <w:rsid w:val="0022402D"/>
    <w:rsid w:val="0022419A"/>
    <w:rsid w:val="002241AE"/>
    <w:rsid w:val="00224373"/>
    <w:rsid w:val="0022445D"/>
    <w:rsid w:val="0022467C"/>
    <w:rsid w:val="00224737"/>
    <w:rsid w:val="00224B27"/>
    <w:rsid w:val="00224C39"/>
    <w:rsid w:val="00224D34"/>
    <w:rsid w:val="00225166"/>
    <w:rsid w:val="00225D05"/>
    <w:rsid w:val="002261F1"/>
    <w:rsid w:val="0022621B"/>
    <w:rsid w:val="0022667B"/>
    <w:rsid w:val="002269E5"/>
    <w:rsid w:val="00227BBE"/>
    <w:rsid w:val="00230295"/>
    <w:rsid w:val="00230959"/>
    <w:rsid w:val="00230BE8"/>
    <w:rsid w:val="00230CD9"/>
    <w:rsid w:val="00230D84"/>
    <w:rsid w:val="0023101F"/>
    <w:rsid w:val="0023102F"/>
    <w:rsid w:val="002312B3"/>
    <w:rsid w:val="00231396"/>
    <w:rsid w:val="0023140D"/>
    <w:rsid w:val="0023168B"/>
    <w:rsid w:val="002316C0"/>
    <w:rsid w:val="00231B8F"/>
    <w:rsid w:val="00231DB9"/>
    <w:rsid w:val="00231EDA"/>
    <w:rsid w:val="00231FA7"/>
    <w:rsid w:val="002322EC"/>
    <w:rsid w:val="00232BBD"/>
    <w:rsid w:val="0023368D"/>
    <w:rsid w:val="002336AF"/>
    <w:rsid w:val="002338A8"/>
    <w:rsid w:val="00233CA6"/>
    <w:rsid w:val="002346C2"/>
    <w:rsid w:val="002346EF"/>
    <w:rsid w:val="002349C0"/>
    <w:rsid w:val="00234B99"/>
    <w:rsid w:val="00234C00"/>
    <w:rsid w:val="00235040"/>
    <w:rsid w:val="0023552D"/>
    <w:rsid w:val="00235DA5"/>
    <w:rsid w:val="00235DB3"/>
    <w:rsid w:val="00236302"/>
    <w:rsid w:val="00236F4C"/>
    <w:rsid w:val="00236F7E"/>
    <w:rsid w:val="00237006"/>
    <w:rsid w:val="002375D0"/>
    <w:rsid w:val="0023760D"/>
    <w:rsid w:val="002376D2"/>
    <w:rsid w:val="002377D4"/>
    <w:rsid w:val="00237EC5"/>
    <w:rsid w:val="002404BE"/>
    <w:rsid w:val="00241612"/>
    <w:rsid w:val="00241A0B"/>
    <w:rsid w:val="00241BA6"/>
    <w:rsid w:val="00241CBA"/>
    <w:rsid w:val="00242630"/>
    <w:rsid w:val="00242A68"/>
    <w:rsid w:val="0024354A"/>
    <w:rsid w:val="00243582"/>
    <w:rsid w:val="00243584"/>
    <w:rsid w:val="00243C2F"/>
    <w:rsid w:val="00244272"/>
    <w:rsid w:val="00244362"/>
    <w:rsid w:val="002445C7"/>
    <w:rsid w:val="0024489D"/>
    <w:rsid w:val="00244BC5"/>
    <w:rsid w:val="00244EB4"/>
    <w:rsid w:val="0024508F"/>
    <w:rsid w:val="0024526B"/>
    <w:rsid w:val="00245937"/>
    <w:rsid w:val="00246168"/>
    <w:rsid w:val="00246CC7"/>
    <w:rsid w:val="00246DA1"/>
    <w:rsid w:val="00246FD8"/>
    <w:rsid w:val="0024714C"/>
    <w:rsid w:val="0024766E"/>
    <w:rsid w:val="00247853"/>
    <w:rsid w:val="00247D65"/>
    <w:rsid w:val="00247E4B"/>
    <w:rsid w:val="00247F9D"/>
    <w:rsid w:val="00247FB8"/>
    <w:rsid w:val="00247FEC"/>
    <w:rsid w:val="002503ED"/>
    <w:rsid w:val="00251AC7"/>
    <w:rsid w:val="00253C1F"/>
    <w:rsid w:val="00254086"/>
    <w:rsid w:val="00254AA7"/>
    <w:rsid w:val="002556B5"/>
    <w:rsid w:val="00255DE1"/>
    <w:rsid w:val="00256013"/>
    <w:rsid w:val="002560D3"/>
    <w:rsid w:val="00256216"/>
    <w:rsid w:val="00256673"/>
    <w:rsid w:val="0025678B"/>
    <w:rsid w:val="002568A7"/>
    <w:rsid w:val="00256CCB"/>
    <w:rsid w:val="00257039"/>
    <w:rsid w:val="0025719B"/>
    <w:rsid w:val="00257DBF"/>
    <w:rsid w:val="00257F6C"/>
    <w:rsid w:val="00257FED"/>
    <w:rsid w:val="0026096D"/>
    <w:rsid w:val="00260FA3"/>
    <w:rsid w:val="00261684"/>
    <w:rsid w:val="00261829"/>
    <w:rsid w:val="002620ED"/>
    <w:rsid w:val="002623C6"/>
    <w:rsid w:val="0026250C"/>
    <w:rsid w:val="00262720"/>
    <w:rsid w:val="0026379B"/>
    <w:rsid w:val="002637A2"/>
    <w:rsid w:val="00264458"/>
    <w:rsid w:val="0026449E"/>
    <w:rsid w:val="00264C90"/>
    <w:rsid w:val="002650AF"/>
    <w:rsid w:val="00265234"/>
    <w:rsid w:val="00266675"/>
    <w:rsid w:val="00266991"/>
    <w:rsid w:val="00267BB2"/>
    <w:rsid w:val="0027028C"/>
    <w:rsid w:val="002705CB"/>
    <w:rsid w:val="0027060D"/>
    <w:rsid w:val="00270668"/>
    <w:rsid w:val="00270851"/>
    <w:rsid w:val="00270BEC"/>
    <w:rsid w:val="00271FFB"/>
    <w:rsid w:val="00272302"/>
    <w:rsid w:val="00272832"/>
    <w:rsid w:val="00272C3C"/>
    <w:rsid w:val="0027378B"/>
    <w:rsid w:val="00273E72"/>
    <w:rsid w:val="00274422"/>
    <w:rsid w:val="00274713"/>
    <w:rsid w:val="00274743"/>
    <w:rsid w:val="002747AF"/>
    <w:rsid w:val="00274BF0"/>
    <w:rsid w:val="0027517A"/>
    <w:rsid w:val="002756D5"/>
    <w:rsid w:val="0027573E"/>
    <w:rsid w:val="00275F93"/>
    <w:rsid w:val="00276380"/>
    <w:rsid w:val="00276505"/>
    <w:rsid w:val="0027666A"/>
    <w:rsid w:val="00276B88"/>
    <w:rsid w:val="00276D69"/>
    <w:rsid w:val="002777DD"/>
    <w:rsid w:val="00277CC3"/>
    <w:rsid w:val="00280073"/>
    <w:rsid w:val="002804EC"/>
    <w:rsid w:val="00280BA9"/>
    <w:rsid w:val="002816A1"/>
    <w:rsid w:val="00281CBC"/>
    <w:rsid w:val="00282223"/>
    <w:rsid w:val="0028256E"/>
    <w:rsid w:val="002828AC"/>
    <w:rsid w:val="00282C1B"/>
    <w:rsid w:val="0028307F"/>
    <w:rsid w:val="002830E9"/>
    <w:rsid w:val="00283222"/>
    <w:rsid w:val="002834B9"/>
    <w:rsid w:val="002834D3"/>
    <w:rsid w:val="00283526"/>
    <w:rsid w:val="00283776"/>
    <w:rsid w:val="0028410C"/>
    <w:rsid w:val="0028457D"/>
    <w:rsid w:val="002847EC"/>
    <w:rsid w:val="002848E3"/>
    <w:rsid w:val="00284C75"/>
    <w:rsid w:val="00284FBF"/>
    <w:rsid w:val="00285463"/>
    <w:rsid w:val="00286D65"/>
    <w:rsid w:val="00286F50"/>
    <w:rsid w:val="0028774E"/>
    <w:rsid w:val="002902CD"/>
    <w:rsid w:val="002904D5"/>
    <w:rsid w:val="00290A99"/>
    <w:rsid w:val="00290E99"/>
    <w:rsid w:val="0029120A"/>
    <w:rsid w:val="002912AB"/>
    <w:rsid w:val="00291736"/>
    <w:rsid w:val="00291E77"/>
    <w:rsid w:val="00292341"/>
    <w:rsid w:val="0029247A"/>
    <w:rsid w:val="0029276D"/>
    <w:rsid w:val="00292804"/>
    <w:rsid w:val="00292A8E"/>
    <w:rsid w:val="00292D42"/>
    <w:rsid w:val="00293203"/>
    <w:rsid w:val="002936AB"/>
    <w:rsid w:val="00294E6C"/>
    <w:rsid w:val="00294F92"/>
    <w:rsid w:val="0029536D"/>
    <w:rsid w:val="00295BA1"/>
    <w:rsid w:val="002961EE"/>
    <w:rsid w:val="0029656F"/>
    <w:rsid w:val="002965C1"/>
    <w:rsid w:val="0029663E"/>
    <w:rsid w:val="002972CB"/>
    <w:rsid w:val="002976CC"/>
    <w:rsid w:val="0029792B"/>
    <w:rsid w:val="002A0250"/>
    <w:rsid w:val="002A05E5"/>
    <w:rsid w:val="002A06DA"/>
    <w:rsid w:val="002A1A0A"/>
    <w:rsid w:val="002A1B6C"/>
    <w:rsid w:val="002A23C3"/>
    <w:rsid w:val="002A250B"/>
    <w:rsid w:val="002A263C"/>
    <w:rsid w:val="002A35A3"/>
    <w:rsid w:val="002A3669"/>
    <w:rsid w:val="002A3BFC"/>
    <w:rsid w:val="002A4144"/>
    <w:rsid w:val="002A4330"/>
    <w:rsid w:val="002A4440"/>
    <w:rsid w:val="002A4AF4"/>
    <w:rsid w:val="002A4C1A"/>
    <w:rsid w:val="002A50CA"/>
    <w:rsid w:val="002A56A8"/>
    <w:rsid w:val="002A5814"/>
    <w:rsid w:val="002A5DB8"/>
    <w:rsid w:val="002A655C"/>
    <w:rsid w:val="002A69DD"/>
    <w:rsid w:val="002A6DF0"/>
    <w:rsid w:val="002A72A4"/>
    <w:rsid w:val="002A7706"/>
    <w:rsid w:val="002A78FB"/>
    <w:rsid w:val="002A79B8"/>
    <w:rsid w:val="002A79FE"/>
    <w:rsid w:val="002A7A03"/>
    <w:rsid w:val="002B019F"/>
    <w:rsid w:val="002B02A5"/>
    <w:rsid w:val="002B0D5F"/>
    <w:rsid w:val="002B1028"/>
    <w:rsid w:val="002B15F6"/>
    <w:rsid w:val="002B2087"/>
    <w:rsid w:val="002B2623"/>
    <w:rsid w:val="002B3362"/>
    <w:rsid w:val="002B35B7"/>
    <w:rsid w:val="002B407F"/>
    <w:rsid w:val="002B4DC2"/>
    <w:rsid w:val="002B512A"/>
    <w:rsid w:val="002B5426"/>
    <w:rsid w:val="002B59C5"/>
    <w:rsid w:val="002B5D20"/>
    <w:rsid w:val="002B61E5"/>
    <w:rsid w:val="002B6246"/>
    <w:rsid w:val="002B6517"/>
    <w:rsid w:val="002B6660"/>
    <w:rsid w:val="002B71CA"/>
    <w:rsid w:val="002B73F4"/>
    <w:rsid w:val="002B7A13"/>
    <w:rsid w:val="002B7D5A"/>
    <w:rsid w:val="002B7F1A"/>
    <w:rsid w:val="002B7F9A"/>
    <w:rsid w:val="002C02D2"/>
    <w:rsid w:val="002C0D30"/>
    <w:rsid w:val="002C1EBC"/>
    <w:rsid w:val="002C22DE"/>
    <w:rsid w:val="002C23D2"/>
    <w:rsid w:val="002C37E3"/>
    <w:rsid w:val="002C390C"/>
    <w:rsid w:val="002C46F8"/>
    <w:rsid w:val="002C484F"/>
    <w:rsid w:val="002C4B93"/>
    <w:rsid w:val="002C4D02"/>
    <w:rsid w:val="002C500A"/>
    <w:rsid w:val="002C52F1"/>
    <w:rsid w:val="002C5C08"/>
    <w:rsid w:val="002C62B5"/>
    <w:rsid w:val="002C7363"/>
    <w:rsid w:val="002C771F"/>
    <w:rsid w:val="002C7787"/>
    <w:rsid w:val="002D049D"/>
    <w:rsid w:val="002D091A"/>
    <w:rsid w:val="002D0D36"/>
    <w:rsid w:val="002D0F0A"/>
    <w:rsid w:val="002D152E"/>
    <w:rsid w:val="002D2698"/>
    <w:rsid w:val="002D2941"/>
    <w:rsid w:val="002D3337"/>
    <w:rsid w:val="002D3421"/>
    <w:rsid w:val="002D37C5"/>
    <w:rsid w:val="002D3921"/>
    <w:rsid w:val="002D3A24"/>
    <w:rsid w:val="002D3E5C"/>
    <w:rsid w:val="002D4664"/>
    <w:rsid w:val="002D46A8"/>
    <w:rsid w:val="002D4829"/>
    <w:rsid w:val="002D4B6E"/>
    <w:rsid w:val="002D4F65"/>
    <w:rsid w:val="002D5412"/>
    <w:rsid w:val="002D582E"/>
    <w:rsid w:val="002D5B15"/>
    <w:rsid w:val="002D5BEB"/>
    <w:rsid w:val="002D6ABE"/>
    <w:rsid w:val="002D6AC3"/>
    <w:rsid w:val="002D7578"/>
    <w:rsid w:val="002D7B0A"/>
    <w:rsid w:val="002D7EBE"/>
    <w:rsid w:val="002D7F8D"/>
    <w:rsid w:val="002E06EF"/>
    <w:rsid w:val="002E17DA"/>
    <w:rsid w:val="002E1B0C"/>
    <w:rsid w:val="002E1B85"/>
    <w:rsid w:val="002E22A7"/>
    <w:rsid w:val="002E2942"/>
    <w:rsid w:val="002E2C05"/>
    <w:rsid w:val="002E3495"/>
    <w:rsid w:val="002E389B"/>
    <w:rsid w:val="002E39FF"/>
    <w:rsid w:val="002E3E1B"/>
    <w:rsid w:val="002E3F00"/>
    <w:rsid w:val="002E4369"/>
    <w:rsid w:val="002E4D4E"/>
    <w:rsid w:val="002E641A"/>
    <w:rsid w:val="002E6AB0"/>
    <w:rsid w:val="002E6DD5"/>
    <w:rsid w:val="002E6FDD"/>
    <w:rsid w:val="002E7391"/>
    <w:rsid w:val="002E77F3"/>
    <w:rsid w:val="002E7D2D"/>
    <w:rsid w:val="002F0320"/>
    <w:rsid w:val="002F0736"/>
    <w:rsid w:val="002F074D"/>
    <w:rsid w:val="002F0A6D"/>
    <w:rsid w:val="002F1726"/>
    <w:rsid w:val="002F1ACA"/>
    <w:rsid w:val="002F1B4D"/>
    <w:rsid w:val="002F1FB2"/>
    <w:rsid w:val="002F1FB4"/>
    <w:rsid w:val="002F26FD"/>
    <w:rsid w:val="002F48B0"/>
    <w:rsid w:val="002F4AC1"/>
    <w:rsid w:val="002F582D"/>
    <w:rsid w:val="002F5B6E"/>
    <w:rsid w:val="002F5C8E"/>
    <w:rsid w:val="002F662B"/>
    <w:rsid w:val="002F6884"/>
    <w:rsid w:val="002F70D2"/>
    <w:rsid w:val="002F7366"/>
    <w:rsid w:val="002F757B"/>
    <w:rsid w:val="002F76ED"/>
    <w:rsid w:val="002F7835"/>
    <w:rsid w:val="002F79C1"/>
    <w:rsid w:val="002F7CC7"/>
    <w:rsid w:val="002F7D1B"/>
    <w:rsid w:val="003000C2"/>
    <w:rsid w:val="003002E7"/>
    <w:rsid w:val="00300517"/>
    <w:rsid w:val="003008F6"/>
    <w:rsid w:val="00300F6F"/>
    <w:rsid w:val="00300FC7"/>
    <w:rsid w:val="003011CD"/>
    <w:rsid w:val="003011FE"/>
    <w:rsid w:val="00301205"/>
    <w:rsid w:val="00301583"/>
    <w:rsid w:val="003015BB"/>
    <w:rsid w:val="00301AC0"/>
    <w:rsid w:val="00301C7F"/>
    <w:rsid w:val="003025BA"/>
    <w:rsid w:val="003027B8"/>
    <w:rsid w:val="003030E9"/>
    <w:rsid w:val="00303286"/>
    <w:rsid w:val="00303685"/>
    <w:rsid w:val="003037B2"/>
    <w:rsid w:val="00303EE6"/>
    <w:rsid w:val="003047C1"/>
    <w:rsid w:val="003056E9"/>
    <w:rsid w:val="00305A27"/>
    <w:rsid w:val="00305E49"/>
    <w:rsid w:val="00305FE5"/>
    <w:rsid w:val="003065C0"/>
    <w:rsid w:val="00306C5B"/>
    <w:rsid w:val="00306EE9"/>
    <w:rsid w:val="00307A3E"/>
    <w:rsid w:val="00307B91"/>
    <w:rsid w:val="00307B9B"/>
    <w:rsid w:val="00307E5A"/>
    <w:rsid w:val="0031027C"/>
    <w:rsid w:val="0031056D"/>
    <w:rsid w:val="00310AA0"/>
    <w:rsid w:val="00311350"/>
    <w:rsid w:val="003113EC"/>
    <w:rsid w:val="00311436"/>
    <w:rsid w:val="00311486"/>
    <w:rsid w:val="003118BF"/>
    <w:rsid w:val="00311945"/>
    <w:rsid w:val="0031199B"/>
    <w:rsid w:val="00311D62"/>
    <w:rsid w:val="00313018"/>
    <w:rsid w:val="00314841"/>
    <w:rsid w:val="00315051"/>
    <w:rsid w:val="0031515E"/>
    <w:rsid w:val="00315343"/>
    <w:rsid w:val="0031538B"/>
    <w:rsid w:val="00315855"/>
    <w:rsid w:val="003159BA"/>
    <w:rsid w:val="00315D1B"/>
    <w:rsid w:val="00315E1C"/>
    <w:rsid w:val="003166F1"/>
    <w:rsid w:val="003167FF"/>
    <w:rsid w:val="00316B9C"/>
    <w:rsid w:val="00316F43"/>
    <w:rsid w:val="0031710C"/>
    <w:rsid w:val="00317133"/>
    <w:rsid w:val="0031733C"/>
    <w:rsid w:val="003175FB"/>
    <w:rsid w:val="00317692"/>
    <w:rsid w:val="00317FAF"/>
    <w:rsid w:val="00320743"/>
    <w:rsid w:val="00320AEC"/>
    <w:rsid w:val="00320B8A"/>
    <w:rsid w:val="00320ED1"/>
    <w:rsid w:val="00321947"/>
    <w:rsid w:val="003229DE"/>
    <w:rsid w:val="00322BCB"/>
    <w:rsid w:val="00322F54"/>
    <w:rsid w:val="00323615"/>
    <w:rsid w:val="0032370B"/>
    <w:rsid w:val="00323EC3"/>
    <w:rsid w:val="003240B2"/>
    <w:rsid w:val="00324207"/>
    <w:rsid w:val="003247C1"/>
    <w:rsid w:val="003247F0"/>
    <w:rsid w:val="0032509E"/>
    <w:rsid w:val="00325118"/>
    <w:rsid w:val="00325292"/>
    <w:rsid w:val="0032529B"/>
    <w:rsid w:val="003252A9"/>
    <w:rsid w:val="003256F6"/>
    <w:rsid w:val="0032702F"/>
    <w:rsid w:val="0032739D"/>
    <w:rsid w:val="00327701"/>
    <w:rsid w:val="0033097C"/>
    <w:rsid w:val="00330C97"/>
    <w:rsid w:val="003314DB"/>
    <w:rsid w:val="00331BF5"/>
    <w:rsid w:val="00331DEA"/>
    <w:rsid w:val="00331F2E"/>
    <w:rsid w:val="00332948"/>
    <w:rsid w:val="003330ED"/>
    <w:rsid w:val="003333E8"/>
    <w:rsid w:val="00333AA8"/>
    <w:rsid w:val="00333E16"/>
    <w:rsid w:val="00334503"/>
    <w:rsid w:val="00334682"/>
    <w:rsid w:val="00334BB8"/>
    <w:rsid w:val="00334DC3"/>
    <w:rsid w:val="00334F9C"/>
    <w:rsid w:val="00335016"/>
    <w:rsid w:val="0033522F"/>
    <w:rsid w:val="00335233"/>
    <w:rsid w:val="00335269"/>
    <w:rsid w:val="00335310"/>
    <w:rsid w:val="00335DB3"/>
    <w:rsid w:val="00336829"/>
    <w:rsid w:val="003369CB"/>
    <w:rsid w:val="00336C51"/>
    <w:rsid w:val="00337088"/>
    <w:rsid w:val="00337423"/>
    <w:rsid w:val="00337BCF"/>
    <w:rsid w:val="00337E75"/>
    <w:rsid w:val="00337E94"/>
    <w:rsid w:val="00340042"/>
    <w:rsid w:val="00340DB9"/>
    <w:rsid w:val="00340EBF"/>
    <w:rsid w:val="00340FFE"/>
    <w:rsid w:val="00341067"/>
    <w:rsid w:val="00341956"/>
    <w:rsid w:val="003427E2"/>
    <w:rsid w:val="00342A23"/>
    <w:rsid w:val="003430AE"/>
    <w:rsid w:val="003430B4"/>
    <w:rsid w:val="0034379E"/>
    <w:rsid w:val="003444A9"/>
    <w:rsid w:val="00344BE3"/>
    <w:rsid w:val="00344D16"/>
    <w:rsid w:val="0034565E"/>
    <w:rsid w:val="0034591D"/>
    <w:rsid w:val="00346049"/>
    <w:rsid w:val="0034624B"/>
    <w:rsid w:val="0034639C"/>
    <w:rsid w:val="003464F9"/>
    <w:rsid w:val="003470C2"/>
    <w:rsid w:val="003479E1"/>
    <w:rsid w:val="00347ACE"/>
    <w:rsid w:val="003501D4"/>
    <w:rsid w:val="00350DEC"/>
    <w:rsid w:val="00351010"/>
    <w:rsid w:val="003517DF"/>
    <w:rsid w:val="00351FA2"/>
    <w:rsid w:val="0035214A"/>
    <w:rsid w:val="0035246E"/>
    <w:rsid w:val="0035249C"/>
    <w:rsid w:val="003543E5"/>
    <w:rsid w:val="00354541"/>
    <w:rsid w:val="00354673"/>
    <w:rsid w:val="003549BD"/>
    <w:rsid w:val="00354A09"/>
    <w:rsid w:val="003551A5"/>
    <w:rsid w:val="00355315"/>
    <w:rsid w:val="003555DC"/>
    <w:rsid w:val="00356115"/>
    <w:rsid w:val="003601C4"/>
    <w:rsid w:val="003602B8"/>
    <w:rsid w:val="003607D1"/>
    <w:rsid w:val="00360A22"/>
    <w:rsid w:val="00360C1D"/>
    <w:rsid w:val="00360CB8"/>
    <w:rsid w:val="003611DB"/>
    <w:rsid w:val="00361A55"/>
    <w:rsid w:val="003620CC"/>
    <w:rsid w:val="00362675"/>
    <w:rsid w:val="00362BF2"/>
    <w:rsid w:val="00362D48"/>
    <w:rsid w:val="003630FF"/>
    <w:rsid w:val="00363762"/>
    <w:rsid w:val="00363A79"/>
    <w:rsid w:val="00363D7B"/>
    <w:rsid w:val="003645C7"/>
    <w:rsid w:val="0036493C"/>
    <w:rsid w:val="00364BDB"/>
    <w:rsid w:val="00364D39"/>
    <w:rsid w:val="00364F4E"/>
    <w:rsid w:val="00365AA7"/>
    <w:rsid w:val="00365B3B"/>
    <w:rsid w:val="00365EC7"/>
    <w:rsid w:val="003665E4"/>
    <w:rsid w:val="00366969"/>
    <w:rsid w:val="0036726E"/>
    <w:rsid w:val="00367375"/>
    <w:rsid w:val="003677FE"/>
    <w:rsid w:val="00367C0A"/>
    <w:rsid w:val="00370207"/>
    <w:rsid w:val="0037021E"/>
    <w:rsid w:val="003706C1"/>
    <w:rsid w:val="00370A75"/>
    <w:rsid w:val="00371202"/>
    <w:rsid w:val="0037154F"/>
    <w:rsid w:val="003717FE"/>
    <w:rsid w:val="00371D22"/>
    <w:rsid w:val="00372075"/>
    <w:rsid w:val="003729A2"/>
    <w:rsid w:val="00372AEF"/>
    <w:rsid w:val="00372B16"/>
    <w:rsid w:val="003735CC"/>
    <w:rsid w:val="0037436B"/>
    <w:rsid w:val="003745B0"/>
    <w:rsid w:val="00374976"/>
    <w:rsid w:val="0037546D"/>
    <w:rsid w:val="0037549E"/>
    <w:rsid w:val="00375878"/>
    <w:rsid w:val="00375FA7"/>
    <w:rsid w:val="00376444"/>
    <w:rsid w:val="00377529"/>
    <w:rsid w:val="00377E07"/>
    <w:rsid w:val="00377E35"/>
    <w:rsid w:val="00380139"/>
    <w:rsid w:val="00380238"/>
    <w:rsid w:val="00380A90"/>
    <w:rsid w:val="00380B2D"/>
    <w:rsid w:val="00380ED8"/>
    <w:rsid w:val="00381383"/>
    <w:rsid w:val="00381515"/>
    <w:rsid w:val="00381F13"/>
    <w:rsid w:val="003820AB"/>
    <w:rsid w:val="0038294A"/>
    <w:rsid w:val="00382F9D"/>
    <w:rsid w:val="00383031"/>
    <w:rsid w:val="0038333F"/>
    <w:rsid w:val="0038367B"/>
    <w:rsid w:val="003836F0"/>
    <w:rsid w:val="003841DF"/>
    <w:rsid w:val="003844A6"/>
    <w:rsid w:val="00384BD8"/>
    <w:rsid w:val="00385183"/>
    <w:rsid w:val="0038558D"/>
    <w:rsid w:val="0038563A"/>
    <w:rsid w:val="00385A81"/>
    <w:rsid w:val="00386250"/>
    <w:rsid w:val="00386254"/>
    <w:rsid w:val="003866EB"/>
    <w:rsid w:val="003867C7"/>
    <w:rsid w:val="00386D03"/>
    <w:rsid w:val="0038793A"/>
    <w:rsid w:val="00387D89"/>
    <w:rsid w:val="00390B2F"/>
    <w:rsid w:val="003914B8"/>
    <w:rsid w:val="0039199F"/>
    <w:rsid w:val="00391DA4"/>
    <w:rsid w:val="003922F6"/>
    <w:rsid w:val="003924D8"/>
    <w:rsid w:val="003925B3"/>
    <w:rsid w:val="003936D8"/>
    <w:rsid w:val="00393C7C"/>
    <w:rsid w:val="003941FF"/>
    <w:rsid w:val="0039567C"/>
    <w:rsid w:val="003958F0"/>
    <w:rsid w:val="00397EF3"/>
    <w:rsid w:val="00397F59"/>
    <w:rsid w:val="003A03ED"/>
    <w:rsid w:val="003A0B20"/>
    <w:rsid w:val="003A1551"/>
    <w:rsid w:val="003A173B"/>
    <w:rsid w:val="003A1793"/>
    <w:rsid w:val="003A19B9"/>
    <w:rsid w:val="003A1E43"/>
    <w:rsid w:val="003A2428"/>
    <w:rsid w:val="003A2A96"/>
    <w:rsid w:val="003A3024"/>
    <w:rsid w:val="003A3862"/>
    <w:rsid w:val="003A3E92"/>
    <w:rsid w:val="003A4183"/>
    <w:rsid w:val="003A450F"/>
    <w:rsid w:val="003A4FAD"/>
    <w:rsid w:val="003A5780"/>
    <w:rsid w:val="003A59D7"/>
    <w:rsid w:val="003A5CD5"/>
    <w:rsid w:val="003A5D5B"/>
    <w:rsid w:val="003A5EB6"/>
    <w:rsid w:val="003A60C9"/>
    <w:rsid w:val="003A6BD7"/>
    <w:rsid w:val="003A73B1"/>
    <w:rsid w:val="003A73C8"/>
    <w:rsid w:val="003A7460"/>
    <w:rsid w:val="003A798A"/>
    <w:rsid w:val="003B0A46"/>
    <w:rsid w:val="003B0CCF"/>
    <w:rsid w:val="003B10F4"/>
    <w:rsid w:val="003B1151"/>
    <w:rsid w:val="003B11C3"/>
    <w:rsid w:val="003B1B48"/>
    <w:rsid w:val="003B1F3B"/>
    <w:rsid w:val="003B2083"/>
    <w:rsid w:val="003B259F"/>
    <w:rsid w:val="003B29F6"/>
    <w:rsid w:val="003B338A"/>
    <w:rsid w:val="003B451C"/>
    <w:rsid w:val="003B4781"/>
    <w:rsid w:val="003B48F7"/>
    <w:rsid w:val="003B4A52"/>
    <w:rsid w:val="003B4A60"/>
    <w:rsid w:val="003B544D"/>
    <w:rsid w:val="003B6276"/>
    <w:rsid w:val="003B6389"/>
    <w:rsid w:val="003B6811"/>
    <w:rsid w:val="003B6869"/>
    <w:rsid w:val="003B6BFF"/>
    <w:rsid w:val="003B6D5B"/>
    <w:rsid w:val="003B77DB"/>
    <w:rsid w:val="003B7E7B"/>
    <w:rsid w:val="003C01BA"/>
    <w:rsid w:val="003C0EEE"/>
    <w:rsid w:val="003C1041"/>
    <w:rsid w:val="003C116B"/>
    <w:rsid w:val="003C1389"/>
    <w:rsid w:val="003C1409"/>
    <w:rsid w:val="003C18CC"/>
    <w:rsid w:val="003C1C3C"/>
    <w:rsid w:val="003C3109"/>
    <w:rsid w:val="003C3E5A"/>
    <w:rsid w:val="003C4260"/>
    <w:rsid w:val="003C448A"/>
    <w:rsid w:val="003C4F79"/>
    <w:rsid w:val="003C5293"/>
    <w:rsid w:val="003C57EE"/>
    <w:rsid w:val="003C5A15"/>
    <w:rsid w:val="003C6019"/>
    <w:rsid w:val="003C6315"/>
    <w:rsid w:val="003C6463"/>
    <w:rsid w:val="003C6A3F"/>
    <w:rsid w:val="003C7593"/>
    <w:rsid w:val="003C75D3"/>
    <w:rsid w:val="003C75FD"/>
    <w:rsid w:val="003C7BF7"/>
    <w:rsid w:val="003D0E1B"/>
    <w:rsid w:val="003D0F6B"/>
    <w:rsid w:val="003D0FB0"/>
    <w:rsid w:val="003D163F"/>
    <w:rsid w:val="003D1754"/>
    <w:rsid w:val="003D17AB"/>
    <w:rsid w:val="003D2B8F"/>
    <w:rsid w:val="003D3419"/>
    <w:rsid w:val="003D34C5"/>
    <w:rsid w:val="003D3593"/>
    <w:rsid w:val="003D3ABB"/>
    <w:rsid w:val="003D4045"/>
    <w:rsid w:val="003D4081"/>
    <w:rsid w:val="003D411F"/>
    <w:rsid w:val="003D49AD"/>
    <w:rsid w:val="003D4A41"/>
    <w:rsid w:val="003D4B0B"/>
    <w:rsid w:val="003D5A99"/>
    <w:rsid w:val="003D5B08"/>
    <w:rsid w:val="003D5DE3"/>
    <w:rsid w:val="003D5F4E"/>
    <w:rsid w:val="003D60D3"/>
    <w:rsid w:val="003D63E2"/>
    <w:rsid w:val="003D7A18"/>
    <w:rsid w:val="003D7DCE"/>
    <w:rsid w:val="003E029B"/>
    <w:rsid w:val="003E088E"/>
    <w:rsid w:val="003E0BF6"/>
    <w:rsid w:val="003E0EB6"/>
    <w:rsid w:val="003E100B"/>
    <w:rsid w:val="003E1493"/>
    <w:rsid w:val="003E1BE5"/>
    <w:rsid w:val="003E281B"/>
    <w:rsid w:val="003E2EE0"/>
    <w:rsid w:val="003E2EF0"/>
    <w:rsid w:val="003E33FB"/>
    <w:rsid w:val="003E3657"/>
    <w:rsid w:val="003E381E"/>
    <w:rsid w:val="003E3EBD"/>
    <w:rsid w:val="003E401D"/>
    <w:rsid w:val="003E4537"/>
    <w:rsid w:val="003E4B2F"/>
    <w:rsid w:val="003E4C75"/>
    <w:rsid w:val="003E4EB0"/>
    <w:rsid w:val="003E5411"/>
    <w:rsid w:val="003E563F"/>
    <w:rsid w:val="003E5A76"/>
    <w:rsid w:val="003E5ACD"/>
    <w:rsid w:val="003E631E"/>
    <w:rsid w:val="003E679E"/>
    <w:rsid w:val="003E747B"/>
    <w:rsid w:val="003E79EF"/>
    <w:rsid w:val="003E7D91"/>
    <w:rsid w:val="003E7DBE"/>
    <w:rsid w:val="003E7DCD"/>
    <w:rsid w:val="003F027D"/>
    <w:rsid w:val="003F02B8"/>
    <w:rsid w:val="003F055A"/>
    <w:rsid w:val="003F06B6"/>
    <w:rsid w:val="003F0C87"/>
    <w:rsid w:val="003F1867"/>
    <w:rsid w:val="003F1A07"/>
    <w:rsid w:val="003F1FDE"/>
    <w:rsid w:val="003F206C"/>
    <w:rsid w:val="003F236D"/>
    <w:rsid w:val="003F306C"/>
    <w:rsid w:val="003F3996"/>
    <w:rsid w:val="003F4145"/>
    <w:rsid w:val="003F48D9"/>
    <w:rsid w:val="003F4B21"/>
    <w:rsid w:val="003F5560"/>
    <w:rsid w:val="003F5E68"/>
    <w:rsid w:val="003F60A6"/>
    <w:rsid w:val="003F7620"/>
    <w:rsid w:val="003F7687"/>
    <w:rsid w:val="003F7A3E"/>
    <w:rsid w:val="004001BC"/>
    <w:rsid w:val="00400498"/>
    <w:rsid w:val="00400850"/>
    <w:rsid w:val="00400C89"/>
    <w:rsid w:val="00400D3B"/>
    <w:rsid w:val="004016CD"/>
    <w:rsid w:val="00401985"/>
    <w:rsid w:val="00401C4D"/>
    <w:rsid w:val="00402BA2"/>
    <w:rsid w:val="00402C3C"/>
    <w:rsid w:val="00402E4F"/>
    <w:rsid w:val="004033FB"/>
    <w:rsid w:val="00403456"/>
    <w:rsid w:val="00403824"/>
    <w:rsid w:val="00403BDA"/>
    <w:rsid w:val="00403E3E"/>
    <w:rsid w:val="00404334"/>
    <w:rsid w:val="004049B4"/>
    <w:rsid w:val="0040516C"/>
    <w:rsid w:val="004051CF"/>
    <w:rsid w:val="00405FF7"/>
    <w:rsid w:val="0040627C"/>
    <w:rsid w:val="0040670E"/>
    <w:rsid w:val="004068CE"/>
    <w:rsid w:val="00406C1C"/>
    <w:rsid w:val="00407235"/>
    <w:rsid w:val="004100FB"/>
    <w:rsid w:val="0041026E"/>
    <w:rsid w:val="00410943"/>
    <w:rsid w:val="00410B76"/>
    <w:rsid w:val="00410E06"/>
    <w:rsid w:val="00410FEC"/>
    <w:rsid w:val="00411546"/>
    <w:rsid w:val="00411651"/>
    <w:rsid w:val="004118EE"/>
    <w:rsid w:val="00411BEB"/>
    <w:rsid w:val="0041261B"/>
    <w:rsid w:val="004126C0"/>
    <w:rsid w:val="00412964"/>
    <w:rsid w:val="00412D64"/>
    <w:rsid w:val="00413000"/>
    <w:rsid w:val="004135F1"/>
    <w:rsid w:val="004138DE"/>
    <w:rsid w:val="00413B56"/>
    <w:rsid w:val="0041450D"/>
    <w:rsid w:val="00414CD6"/>
    <w:rsid w:val="004151FC"/>
    <w:rsid w:val="0041528A"/>
    <w:rsid w:val="004152A2"/>
    <w:rsid w:val="004153FC"/>
    <w:rsid w:val="004155D0"/>
    <w:rsid w:val="004159E0"/>
    <w:rsid w:val="00415A7A"/>
    <w:rsid w:val="004164AB"/>
    <w:rsid w:val="00416D1C"/>
    <w:rsid w:val="004173D5"/>
    <w:rsid w:val="004177B3"/>
    <w:rsid w:val="00417A75"/>
    <w:rsid w:val="004205E9"/>
    <w:rsid w:val="004206A8"/>
    <w:rsid w:val="004207B1"/>
    <w:rsid w:val="004207F6"/>
    <w:rsid w:val="00421623"/>
    <w:rsid w:val="0042195B"/>
    <w:rsid w:val="004225C7"/>
    <w:rsid w:val="0042272C"/>
    <w:rsid w:val="00422C63"/>
    <w:rsid w:val="00422DDE"/>
    <w:rsid w:val="00422FAE"/>
    <w:rsid w:val="004231AF"/>
    <w:rsid w:val="00423DF4"/>
    <w:rsid w:val="00424645"/>
    <w:rsid w:val="00425162"/>
    <w:rsid w:val="00425B68"/>
    <w:rsid w:val="004262F2"/>
    <w:rsid w:val="00426349"/>
    <w:rsid w:val="0042688A"/>
    <w:rsid w:val="00427137"/>
    <w:rsid w:val="004272CE"/>
    <w:rsid w:val="004279F2"/>
    <w:rsid w:val="00427B70"/>
    <w:rsid w:val="00427BF0"/>
    <w:rsid w:val="00427DCF"/>
    <w:rsid w:val="00427DF2"/>
    <w:rsid w:val="00427F32"/>
    <w:rsid w:val="00430329"/>
    <w:rsid w:val="0043058D"/>
    <w:rsid w:val="00430A53"/>
    <w:rsid w:val="00430B07"/>
    <w:rsid w:val="00430E6A"/>
    <w:rsid w:val="00431277"/>
    <w:rsid w:val="00431969"/>
    <w:rsid w:val="0043215A"/>
    <w:rsid w:val="00432254"/>
    <w:rsid w:val="004323D9"/>
    <w:rsid w:val="00432668"/>
    <w:rsid w:val="00432DCD"/>
    <w:rsid w:val="004334C3"/>
    <w:rsid w:val="00433758"/>
    <w:rsid w:val="00433AC2"/>
    <w:rsid w:val="00433DAA"/>
    <w:rsid w:val="0043412A"/>
    <w:rsid w:val="00434130"/>
    <w:rsid w:val="00434397"/>
    <w:rsid w:val="0043444A"/>
    <w:rsid w:val="00434512"/>
    <w:rsid w:val="0043476C"/>
    <w:rsid w:val="004348DC"/>
    <w:rsid w:val="00434BE4"/>
    <w:rsid w:val="00434BEA"/>
    <w:rsid w:val="00434CB4"/>
    <w:rsid w:val="00434EDA"/>
    <w:rsid w:val="00435200"/>
    <w:rsid w:val="00435B0C"/>
    <w:rsid w:val="00435F15"/>
    <w:rsid w:val="00436217"/>
    <w:rsid w:val="0043654E"/>
    <w:rsid w:val="00436E27"/>
    <w:rsid w:val="00437076"/>
    <w:rsid w:val="0043723B"/>
    <w:rsid w:val="00437F19"/>
    <w:rsid w:val="004401DF"/>
    <w:rsid w:val="004404CA"/>
    <w:rsid w:val="0044095F"/>
    <w:rsid w:val="00441812"/>
    <w:rsid w:val="00441D13"/>
    <w:rsid w:val="004423C8"/>
    <w:rsid w:val="004425BF"/>
    <w:rsid w:val="00442AA4"/>
    <w:rsid w:val="00442C7A"/>
    <w:rsid w:val="00442C9B"/>
    <w:rsid w:val="00443598"/>
    <w:rsid w:val="0044364A"/>
    <w:rsid w:val="00443717"/>
    <w:rsid w:val="00443C18"/>
    <w:rsid w:val="00443DFA"/>
    <w:rsid w:val="00444205"/>
    <w:rsid w:val="00444D8A"/>
    <w:rsid w:val="0044519D"/>
    <w:rsid w:val="004454C9"/>
    <w:rsid w:val="004458F2"/>
    <w:rsid w:val="004459A9"/>
    <w:rsid w:val="00445F42"/>
    <w:rsid w:val="0044639A"/>
    <w:rsid w:val="00446B76"/>
    <w:rsid w:val="00446DD1"/>
    <w:rsid w:val="0044711F"/>
    <w:rsid w:val="004471BE"/>
    <w:rsid w:val="00447FE3"/>
    <w:rsid w:val="0045001A"/>
    <w:rsid w:val="0045088D"/>
    <w:rsid w:val="00450B93"/>
    <w:rsid w:val="00450C69"/>
    <w:rsid w:val="00450D69"/>
    <w:rsid w:val="00450DB8"/>
    <w:rsid w:val="00450DB9"/>
    <w:rsid w:val="00450F7C"/>
    <w:rsid w:val="0045106C"/>
    <w:rsid w:val="00451810"/>
    <w:rsid w:val="004519AA"/>
    <w:rsid w:val="00451DAD"/>
    <w:rsid w:val="004524CA"/>
    <w:rsid w:val="00452943"/>
    <w:rsid w:val="00452D0D"/>
    <w:rsid w:val="00452FC8"/>
    <w:rsid w:val="004531B1"/>
    <w:rsid w:val="00453238"/>
    <w:rsid w:val="004532F8"/>
    <w:rsid w:val="004537B4"/>
    <w:rsid w:val="0045389A"/>
    <w:rsid w:val="00454311"/>
    <w:rsid w:val="004543A5"/>
    <w:rsid w:val="00454803"/>
    <w:rsid w:val="00454A24"/>
    <w:rsid w:val="00454BEC"/>
    <w:rsid w:val="00455D02"/>
    <w:rsid w:val="004566EB"/>
    <w:rsid w:val="00456909"/>
    <w:rsid w:val="00456FCB"/>
    <w:rsid w:val="00457260"/>
    <w:rsid w:val="004574FF"/>
    <w:rsid w:val="004579EE"/>
    <w:rsid w:val="00457ED2"/>
    <w:rsid w:val="004604A2"/>
    <w:rsid w:val="0046117F"/>
    <w:rsid w:val="004624B6"/>
    <w:rsid w:val="00462951"/>
    <w:rsid w:val="00463329"/>
    <w:rsid w:val="004635EA"/>
    <w:rsid w:val="0046399C"/>
    <w:rsid w:val="00464404"/>
    <w:rsid w:val="00464926"/>
    <w:rsid w:val="00465189"/>
    <w:rsid w:val="00465216"/>
    <w:rsid w:val="0046538A"/>
    <w:rsid w:val="004653A5"/>
    <w:rsid w:val="004656A7"/>
    <w:rsid w:val="004658A9"/>
    <w:rsid w:val="00465EA8"/>
    <w:rsid w:val="00466306"/>
    <w:rsid w:val="0046632E"/>
    <w:rsid w:val="004664C7"/>
    <w:rsid w:val="004667C3"/>
    <w:rsid w:val="004667ED"/>
    <w:rsid w:val="0046698C"/>
    <w:rsid w:val="00466C1C"/>
    <w:rsid w:val="00466DD7"/>
    <w:rsid w:val="00467002"/>
    <w:rsid w:val="004672A2"/>
    <w:rsid w:val="00467741"/>
    <w:rsid w:val="00467AB9"/>
    <w:rsid w:val="0047007F"/>
    <w:rsid w:val="0047032E"/>
    <w:rsid w:val="00470767"/>
    <w:rsid w:val="00470B25"/>
    <w:rsid w:val="00470BCA"/>
    <w:rsid w:val="00470EA5"/>
    <w:rsid w:val="0047154A"/>
    <w:rsid w:val="00471924"/>
    <w:rsid w:val="00471C79"/>
    <w:rsid w:val="00471C8F"/>
    <w:rsid w:val="0047205F"/>
    <w:rsid w:val="00473159"/>
    <w:rsid w:val="004734A6"/>
    <w:rsid w:val="00473608"/>
    <w:rsid w:val="00473693"/>
    <w:rsid w:val="004739FC"/>
    <w:rsid w:val="00473A44"/>
    <w:rsid w:val="00473C1B"/>
    <w:rsid w:val="00474603"/>
    <w:rsid w:val="004748AB"/>
    <w:rsid w:val="004748BC"/>
    <w:rsid w:val="00474B15"/>
    <w:rsid w:val="00474BA8"/>
    <w:rsid w:val="00474C01"/>
    <w:rsid w:val="0047542D"/>
    <w:rsid w:val="0047562C"/>
    <w:rsid w:val="00475FF3"/>
    <w:rsid w:val="004768F0"/>
    <w:rsid w:val="00476A31"/>
    <w:rsid w:val="00476A36"/>
    <w:rsid w:val="00476D11"/>
    <w:rsid w:val="00476E7E"/>
    <w:rsid w:val="004772D0"/>
    <w:rsid w:val="004779C1"/>
    <w:rsid w:val="00477B0D"/>
    <w:rsid w:val="004800BE"/>
    <w:rsid w:val="004800D1"/>
    <w:rsid w:val="004800F4"/>
    <w:rsid w:val="004803B9"/>
    <w:rsid w:val="00480D09"/>
    <w:rsid w:val="004815C2"/>
    <w:rsid w:val="0048162F"/>
    <w:rsid w:val="004818B3"/>
    <w:rsid w:val="00481C96"/>
    <w:rsid w:val="00481D4C"/>
    <w:rsid w:val="00482322"/>
    <w:rsid w:val="00482353"/>
    <w:rsid w:val="00482508"/>
    <w:rsid w:val="0048253F"/>
    <w:rsid w:val="00482A02"/>
    <w:rsid w:val="00482E84"/>
    <w:rsid w:val="004838F6"/>
    <w:rsid w:val="0048404E"/>
    <w:rsid w:val="0048487C"/>
    <w:rsid w:val="00484AC6"/>
    <w:rsid w:val="00484F7C"/>
    <w:rsid w:val="0048652B"/>
    <w:rsid w:val="00486969"/>
    <w:rsid w:val="00486F4F"/>
    <w:rsid w:val="00487164"/>
    <w:rsid w:val="004878F9"/>
    <w:rsid w:val="0049004F"/>
    <w:rsid w:val="004905CF"/>
    <w:rsid w:val="00490767"/>
    <w:rsid w:val="00490C81"/>
    <w:rsid w:val="004920A2"/>
    <w:rsid w:val="00492341"/>
    <w:rsid w:val="0049238C"/>
    <w:rsid w:val="00492C45"/>
    <w:rsid w:val="0049333C"/>
    <w:rsid w:val="004934F7"/>
    <w:rsid w:val="00493A2D"/>
    <w:rsid w:val="004943A0"/>
    <w:rsid w:val="004943C4"/>
    <w:rsid w:val="00494431"/>
    <w:rsid w:val="004947AA"/>
    <w:rsid w:val="0049491D"/>
    <w:rsid w:val="00496175"/>
    <w:rsid w:val="00497BD1"/>
    <w:rsid w:val="004A0156"/>
    <w:rsid w:val="004A097B"/>
    <w:rsid w:val="004A0A1F"/>
    <w:rsid w:val="004A0B0F"/>
    <w:rsid w:val="004A1565"/>
    <w:rsid w:val="004A1853"/>
    <w:rsid w:val="004A1D58"/>
    <w:rsid w:val="004A1F8D"/>
    <w:rsid w:val="004A23D6"/>
    <w:rsid w:val="004A2589"/>
    <w:rsid w:val="004A27EC"/>
    <w:rsid w:val="004A2D1D"/>
    <w:rsid w:val="004A2F6A"/>
    <w:rsid w:val="004A315D"/>
    <w:rsid w:val="004A3422"/>
    <w:rsid w:val="004A352C"/>
    <w:rsid w:val="004A402B"/>
    <w:rsid w:val="004A44DB"/>
    <w:rsid w:val="004A4E47"/>
    <w:rsid w:val="004A516F"/>
    <w:rsid w:val="004A5D29"/>
    <w:rsid w:val="004A6112"/>
    <w:rsid w:val="004A6380"/>
    <w:rsid w:val="004A6EBC"/>
    <w:rsid w:val="004A7EA4"/>
    <w:rsid w:val="004B0024"/>
    <w:rsid w:val="004B0133"/>
    <w:rsid w:val="004B017F"/>
    <w:rsid w:val="004B0348"/>
    <w:rsid w:val="004B03A7"/>
    <w:rsid w:val="004B063D"/>
    <w:rsid w:val="004B155F"/>
    <w:rsid w:val="004B1A6A"/>
    <w:rsid w:val="004B1EA5"/>
    <w:rsid w:val="004B2495"/>
    <w:rsid w:val="004B25C0"/>
    <w:rsid w:val="004B2D38"/>
    <w:rsid w:val="004B30B3"/>
    <w:rsid w:val="004B30B4"/>
    <w:rsid w:val="004B31B8"/>
    <w:rsid w:val="004B35F2"/>
    <w:rsid w:val="004B3BF7"/>
    <w:rsid w:val="004B45DE"/>
    <w:rsid w:val="004B4972"/>
    <w:rsid w:val="004B4AFE"/>
    <w:rsid w:val="004B5A26"/>
    <w:rsid w:val="004B61D5"/>
    <w:rsid w:val="004B685C"/>
    <w:rsid w:val="004B6C14"/>
    <w:rsid w:val="004B708D"/>
    <w:rsid w:val="004B7BD7"/>
    <w:rsid w:val="004C0205"/>
    <w:rsid w:val="004C1B6D"/>
    <w:rsid w:val="004C270E"/>
    <w:rsid w:val="004C2847"/>
    <w:rsid w:val="004C2995"/>
    <w:rsid w:val="004C2A16"/>
    <w:rsid w:val="004C3788"/>
    <w:rsid w:val="004C3A65"/>
    <w:rsid w:val="004C3A8C"/>
    <w:rsid w:val="004C3BD4"/>
    <w:rsid w:val="004C3D65"/>
    <w:rsid w:val="004C3E44"/>
    <w:rsid w:val="004C42F6"/>
    <w:rsid w:val="004C4622"/>
    <w:rsid w:val="004C4D78"/>
    <w:rsid w:val="004C69AD"/>
    <w:rsid w:val="004C6AE6"/>
    <w:rsid w:val="004C6F7A"/>
    <w:rsid w:val="004C723E"/>
    <w:rsid w:val="004C75B8"/>
    <w:rsid w:val="004C76CA"/>
    <w:rsid w:val="004C794E"/>
    <w:rsid w:val="004C7BD3"/>
    <w:rsid w:val="004D000F"/>
    <w:rsid w:val="004D0136"/>
    <w:rsid w:val="004D01C2"/>
    <w:rsid w:val="004D0437"/>
    <w:rsid w:val="004D0776"/>
    <w:rsid w:val="004D09CE"/>
    <w:rsid w:val="004D1E36"/>
    <w:rsid w:val="004D1F61"/>
    <w:rsid w:val="004D21EB"/>
    <w:rsid w:val="004D268A"/>
    <w:rsid w:val="004D3054"/>
    <w:rsid w:val="004D35A0"/>
    <w:rsid w:val="004D35AF"/>
    <w:rsid w:val="004D37EF"/>
    <w:rsid w:val="004D44A2"/>
    <w:rsid w:val="004D4E19"/>
    <w:rsid w:val="004D574A"/>
    <w:rsid w:val="004D5A9C"/>
    <w:rsid w:val="004D6230"/>
    <w:rsid w:val="004D6AA8"/>
    <w:rsid w:val="004D736D"/>
    <w:rsid w:val="004D7D34"/>
    <w:rsid w:val="004E0134"/>
    <w:rsid w:val="004E01F5"/>
    <w:rsid w:val="004E03C0"/>
    <w:rsid w:val="004E0D42"/>
    <w:rsid w:val="004E1288"/>
    <w:rsid w:val="004E1683"/>
    <w:rsid w:val="004E1DB4"/>
    <w:rsid w:val="004E21A5"/>
    <w:rsid w:val="004E24B7"/>
    <w:rsid w:val="004E29B2"/>
    <w:rsid w:val="004E32A4"/>
    <w:rsid w:val="004E3C0A"/>
    <w:rsid w:val="004E4091"/>
    <w:rsid w:val="004E4D25"/>
    <w:rsid w:val="004E56F3"/>
    <w:rsid w:val="004E5838"/>
    <w:rsid w:val="004E5CF2"/>
    <w:rsid w:val="004E6046"/>
    <w:rsid w:val="004E68A7"/>
    <w:rsid w:val="004E6D1C"/>
    <w:rsid w:val="004E702B"/>
    <w:rsid w:val="004E74ED"/>
    <w:rsid w:val="004E7A46"/>
    <w:rsid w:val="004E7F79"/>
    <w:rsid w:val="004F0434"/>
    <w:rsid w:val="004F065A"/>
    <w:rsid w:val="004F194A"/>
    <w:rsid w:val="004F2588"/>
    <w:rsid w:val="004F2990"/>
    <w:rsid w:val="004F2D33"/>
    <w:rsid w:val="004F2D6E"/>
    <w:rsid w:val="004F3D18"/>
    <w:rsid w:val="004F3F63"/>
    <w:rsid w:val="004F45A5"/>
    <w:rsid w:val="004F46B5"/>
    <w:rsid w:val="004F486A"/>
    <w:rsid w:val="004F4D00"/>
    <w:rsid w:val="004F4E0E"/>
    <w:rsid w:val="004F5A4D"/>
    <w:rsid w:val="004F5D9B"/>
    <w:rsid w:val="004F60FD"/>
    <w:rsid w:val="004F6B25"/>
    <w:rsid w:val="004F71D3"/>
    <w:rsid w:val="004F74D3"/>
    <w:rsid w:val="004F7711"/>
    <w:rsid w:val="004F7B5D"/>
    <w:rsid w:val="004F7EC3"/>
    <w:rsid w:val="004F7EF1"/>
    <w:rsid w:val="005000E1"/>
    <w:rsid w:val="005004D1"/>
    <w:rsid w:val="00500E74"/>
    <w:rsid w:val="005011E5"/>
    <w:rsid w:val="00501216"/>
    <w:rsid w:val="005015E6"/>
    <w:rsid w:val="005017C1"/>
    <w:rsid w:val="0050186C"/>
    <w:rsid w:val="00501D61"/>
    <w:rsid w:val="005027C7"/>
    <w:rsid w:val="00502850"/>
    <w:rsid w:val="005028CD"/>
    <w:rsid w:val="00502C6B"/>
    <w:rsid w:val="00502E46"/>
    <w:rsid w:val="0050324B"/>
    <w:rsid w:val="005039E1"/>
    <w:rsid w:val="00504824"/>
    <w:rsid w:val="00504D7F"/>
    <w:rsid w:val="00504F12"/>
    <w:rsid w:val="0050525E"/>
    <w:rsid w:val="00505689"/>
    <w:rsid w:val="005058F4"/>
    <w:rsid w:val="0050595E"/>
    <w:rsid w:val="00506364"/>
    <w:rsid w:val="005063C2"/>
    <w:rsid w:val="0050651A"/>
    <w:rsid w:val="005065E6"/>
    <w:rsid w:val="00506A9B"/>
    <w:rsid w:val="00506C0E"/>
    <w:rsid w:val="00506FFB"/>
    <w:rsid w:val="0050736B"/>
    <w:rsid w:val="00507F14"/>
    <w:rsid w:val="0051027E"/>
    <w:rsid w:val="0051029F"/>
    <w:rsid w:val="005102A7"/>
    <w:rsid w:val="00510327"/>
    <w:rsid w:val="005103F4"/>
    <w:rsid w:val="00510FB7"/>
    <w:rsid w:val="00511797"/>
    <w:rsid w:val="005124A6"/>
    <w:rsid w:val="0051286F"/>
    <w:rsid w:val="00512872"/>
    <w:rsid w:val="005128C0"/>
    <w:rsid w:val="00512CA5"/>
    <w:rsid w:val="005138CB"/>
    <w:rsid w:val="00513AF6"/>
    <w:rsid w:val="005141FD"/>
    <w:rsid w:val="005143B4"/>
    <w:rsid w:val="005148AD"/>
    <w:rsid w:val="00514C1C"/>
    <w:rsid w:val="00515742"/>
    <w:rsid w:val="005157F6"/>
    <w:rsid w:val="00516196"/>
    <w:rsid w:val="00516513"/>
    <w:rsid w:val="0051654B"/>
    <w:rsid w:val="00517187"/>
    <w:rsid w:val="00517414"/>
    <w:rsid w:val="0051746C"/>
    <w:rsid w:val="005175A2"/>
    <w:rsid w:val="00517FC0"/>
    <w:rsid w:val="0052020D"/>
    <w:rsid w:val="00520980"/>
    <w:rsid w:val="00520E12"/>
    <w:rsid w:val="00520E92"/>
    <w:rsid w:val="00521E0B"/>
    <w:rsid w:val="005222DC"/>
    <w:rsid w:val="00522792"/>
    <w:rsid w:val="00522F7F"/>
    <w:rsid w:val="00523839"/>
    <w:rsid w:val="00523FF5"/>
    <w:rsid w:val="00524196"/>
    <w:rsid w:val="00524266"/>
    <w:rsid w:val="00524279"/>
    <w:rsid w:val="00524300"/>
    <w:rsid w:val="00524726"/>
    <w:rsid w:val="00524A6B"/>
    <w:rsid w:val="00525076"/>
    <w:rsid w:val="005258C0"/>
    <w:rsid w:val="00525CF3"/>
    <w:rsid w:val="00525E4B"/>
    <w:rsid w:val="00526264"/>
    <w:rsid w:val="0052627C"/>
    <w:rsid w:val="0052643A"/>
    <w:rsid w:val="00526A97"/>
    <w:rsid w:val="00526AF1"/>
    <w:rsid w:val="00526C1B"/>
    <w:rsid w:val="00526F38"/>
    <w:rsid w:val="0052709C"/>
    <w:rsid w:val="00527296"/>
    <w:rsid w:val="005274DF"/>
    <w:rsid w:val="005276C4"/>
    <w:rsid w:val="00527B0C"/>
    <w:rsid w:val="00527C69"/>
    <w:rsid w:val="00530149"/>
    <w:rsid w:val="00530199"/>
    <w:rsid w:val="00530563"/>
    <w:rsid w:val="00530CB4"/>
    <w:rsid w:val="00530EDA"/>
    <w:rsid w:val="00530F18"/>
    <w:rsid w:val="00530F88"/>
    <w:rsid w:val="00531317"/>
    <w:rsid w:val="0053184A"/>
    <w:rsid w:val="00531A69"/>
    <w:rsid w:val="0053249B"/>
    <w:rsid w:val="00532567"/>
    <w:rsid w:val="005326FD"/>
    <w:rsid w:val="005327AB"/>
    <w:rsid w:val="005328ED"/>
    <w:rsid w:val="00532C35"/>
    <w:rsid w:val="00532E9B"/>
    <w:rsid w:val="005337F7"/>
    <w:rsid w:val="0053419D"/>
    <w:rsid w:val="005348F8"/>
    <w:rsid w:val="00534D4F"/>
    <w:rsid w:val="00535822"/>
    <w:rsid w:val="0053640F"/>
    <w:rsid w:val="005364F1"/>
    <w:rsid w:val="00536FF5"/>
    <w:rsid w:val="0053748C"/>
    <w:rsid w:val="005376B5"/>
    <w:rsid w:val="00537C05"/>
    <w:rsid w:val="00537CC3"/>
    <w:rsid w:val="00537D40"/>
    <w:rsid w:val="00540140"/>
    <w:rsid w:val="00540161"/>
    <w:rsid w:val="00540624"/>
    <w:rsid w:val="00541130"/>
    <w:rsid w:val="005416D7"/>
    <w:rsid w:val="00541E47"/>
    <w:rsid w:val="00541ED9"/>
    <w:rsid w:val="0054296C"/>
    <w:rsid w:val="005434B5"/>
    <w:rsid w:val="00543544"/>
    <w:rsid w:val="0054359D"/>
    <w:rsid w:val="00543AC7"/>
    <w:rsid w:val="00543B37"/>
    <w:rsid w:val="00544935"/>
    <w:rsid w:val="00545923"/>
    <w:rsid w:val="00545DA1"/>
    <w:rsid w:val="005467E2"/>
    <w:rsid w:val="00546A49"/>
    <w:rsid w:val="005475D9"/>
    <w:rsid w:val="00547714"/>
    <w:rsid w:val="0054776A"/>
    <w:rsid w:val="005500F5"/>
    <w:rsid w:val="00550220"/>
    <w:rsid w:val="005504EE"/>
    <w:rsid w:val="0055064D"/>
    <w:rsid w:val="005507A5"/>
    <w:rsid w:val="00550986"/>
    <w:rsid w:val="00550BA1"/>
    <w:rsid w:val="00550C5E"/>
    <w:rsid w:val="00550E3F"/>
    <w:rsid w:val="00551114"/>
    <w:rsid w:val="00551115"/>
    <w:rsid w:val="005514E0"/>
    <w:rsid w:val="005515DC"/>
    <w:rsid w:val="00551EB6"/>
    <w:rsid w:val="005520F1"/>
    <w:rsid w:val="0055276C"/>
    <w:rsid w:val="00553431"/>
    <w:rsid w:val="005539EA"/>
    <w:rsid w:val="00554030"/>
    <w:rsid w:val="0055477D"/>
    <w:rsid w:val="00554A56"/>
    <w:rsid w:val="00555164"/>
    <w:rsid w:val="00556209"/>
    <w:rsid w:val="00556B02"/>
    <w:rsid w:val="005571E8"/>
    <w:rsid w:val="00557429"/>
    <w:rsid w:val="00560338"/>
    <w:rsid w:val="00560534"/>
    <w:rsid w:val="00560737"/>
    <w:rsid w:val="00561C8D"/>
    <w:rsid w:val="00562136"/>
    <w:rsid w:val="0056292D"/>
    <w:rsid w:val="00562C35"/>
    <w:rsid w:val="0056333D"/>
    <w:rsid w:val="005642C2"/>
    <w:rsid w:val="00564BCA"/>
    <w:rsid w:val="00565880"/>
    <w:rsid w:val="00565D62"/>
    <w:rsid w:val="00565DFE"/>
    <w:rsid w:val="005661DB"/>
    <w:rsid w:val="00566D73"/>
    <w:rsid w:val="00566F81"/>
    <w:rsid w:val="005670EA"/>
    <w:rsid w:val="005677DD"/>
    <w:rsid w:val="0056786D"/>
    <w:rsid w:val="00570E72"/>
    <w:rsid w:val="00571CF6"/>
    <w:rsid w:val="00571D86"/>
    <w:rsid w:val="00572299"/>
    <w:rsid w:val="00572860"/>
    <w:rsid w:val="00572CE7"/>
    <w:rsid w:val="00573A58"/>
    <w:rsid w:val="00573E84"/>
    <w:rsid w:val="005741D3"/>
    <w:rsid w:val="00574536"/>
    <w:rsid w:val="00574F02"/>
    <w:rsid w:val="00575CE9"/>
    <w:rsid w:val="00575D72"/>
    <w:rsid w:val="00575E34"/>
    <w:rsid w:val="005766B1"/>
    <w:rsid w:val="00576FE0"/>
    <w:rsid w:val="0057793F"/>
    <w:rsid w:val="00580953"/>
    <w:rsid w:val="00580ECB"/>
    <w:rsid w:val="0058141F"/>
    <w:rsid w:val="005816D2"/>
    <w:rsid w:val="005818D7"/>
    <w:rsid w:val="00581AA9"/>
    <w:rsid w:val="00581B59"/>
    <w:rsid w:val="00581D48"/>
    <w:rsid w:val="00581EB7"/>
    <w:rsid w:val="0058266A"/>
    <w:rsid w:val="00582B30"/>
    <w:rsid w:val="005843C4"/>
    <w:rsid w:val="00584883"/>
    <w:rsid w:val="00585613"/>
    <w:rsid w:val="00585C9E"/>
    <w:rsid w:val="00585D29"/>
    <w:rsid w:val="005861DC"/>
    <w:rsid w:val="00587008"/>
    <w:rsid w:val="0058715E"/>
    <w:rsid w:val="00587D5A"/>
    <w:rsid w:val="00587EB0"/>
    <w:rsid w:val="0059018D"/>
    <w:rsid w:val="005904CE"/>
    <w:rsid w:val="00590935"/>
    <w:rsid w:val="00590B60"/>
    <w:rsid w:val="00591186"/>
    <w:rsid w:val="00591A6A"/>
    <w:rsid w:val="005920A1"/>
    <w:rsid w:val="005922C5"/>
    <w:rsid w:val="00592455"/>
    <w:rsid w:val="0059255A"/>
    <w:rsid w:val="00592687"/>
    <w:rsid w:val="005928B2"/>
    <w:rsid w:val="0059298A"/>
    <w:rsid w:val="00592E92"/>
    <w:rsid w:val="00593AC9"/>
    <w:rsid w:val="00593AFA"/>
    <w:rsid w:val="005942A1"/>
    <w:rsid w:val="0059431F"/>
    <w:rsid w:val="00594397"/>
    <w:rsid w:val="00594A88"/>
    <w:rsid w:val="0059581E"/>
    <w:rsid w:val="005958B7"/>
    <w:rsid w:val="005958F1"/>
    <w:rsid w:val="00595F15"/>
    <w:rsid w:val="00596370"/>
    <w:rsid w:val="005967A5"/>
    <w:rsid w:val="005967D1"/>
    <w:rsid w:val="00596B1B"/>
    <w:rsid w:val="00596B8D"/>
    <w:rsid w:val="00596CD4"/>
    <w:rsid w:val="0059727F"/>
    <w:rsid w:val="005977CE"/>
    <w:rsid w:val="00597BA8"/>
    <w:rsid w:val="00597E22"/>
    <w:rsid w:val="005A02A7"/>
    <w:rsid w:val="005A0A9F"/>
    <w:rsid w:val="005A0B84"/>
    <w:rsid w:val="005A0D75"/>
    <w:rsid w:val="005A10DD"/>
    <w:rsid w:val="005A2E45"/>
    <w:rsid w:val="005A2EC4"/>
    <w:rsid w:val="005A3602"/>
    <w:rsid w:val="005A368B"/>
    <w:rsid w:val="005A374E"/>
    <w:rsid w:val="005A419C"/>
    <w:rsid w:val="005A433A"/>
    <w:rsid w:val="005A4658"/>
    <w:rsid w:val="005A4C82"/>
    <w:rsid w:val="005A4F94"/>
    <w:rsid w:val="005A506E"/>
    <w:rsid w:val="005A51DF"/>
    <w:rsid w:val="005A5464"/>
    <w:rsid w:val="005A56ED"/>
    <w:rsid w:val="005A5A63"/>
    <w:rsid w:val="005A5B15"/>
    <w:rsid w:val="005A5CF4"/>
    <w:rsid w:val="005A632F"/>
    <w:rsid w:val="005A69E9"/>
    <w:rsid w:val="005A6A0F"/>
    <w:rsid w:val="005A7060"/>
    <w:rsid w:val="005A70F2"/>
    <w:rsid w:val="005A760F"/>
    <w:rsid w:val="005A76AA"/>
    <w:rsid w:val="005A7C20"/>
    <w:rsid w:val="005B0A7C"/>
    <w:rsid w:val="005B0CCF"/>
    <w:rsid w:val="005B1529"/>
    <w:rsid w:val="005B184B"/>
    <w:rsid w:val="005B1A01"/>
    <w:rsid w:val="005B200A"/>
    <w:rsid w:val="005B2113"/>
    <w:rsid w:val="005B2581"/>
    <w:rsid w:val="005B2F57"/>
    <w:rsid w:val="005B3650"/>
    <w:rsid w:val="005B3737"/>
    <w:rsid w:val="005B388A"/>
    <w:rsid w:val="005B3AB5"/>
    <w:rsid w:val="005B3E0C"/>
    <w:rsid w:val="005B4087"/>
    <w:rsid w:val="005B45A1"/>
    <w:rsid w:val="005B468C"/>
    <w:rsid w:val="005B4A04"/>
    <w:rsid w:val="005B5159"/>
    <w:rsid w:val="005B578A"/>
    <w:rsid w:val="005B626A"/>
    <w:rsid w:val="005B6B8D"/>
    <w:rsid w:val="005B6D9C"/>
    <w:rsid w:val="005B6F48"/>
    <w:rsid w:val="005B7492"/>
    <w:rsid w:val="005B7B20"/>
    <w:rsid w:val="005B7E39"/>
    <w:rsid w:val="005B7ED1"/>
    <w:rsid w:val="005C0D31"/>
    <w:rsid w:val="005C0E03"/>
    <w:rsid w:val="005C0E7D"/>
    <w:rsid w:val="005C1879"/>
    <w:rsid w:val="005C198F"/>
    <w:rsid w:val="005C1BE0"/>
    <w:rsid w:val="005C1C85"/>
    <w:rsid w:val="005C1E40"/>
    <w:rsid w:val="005C1FED"/>
    <w:rsid w:val="005C28F0"/>
    <w:rsid w:val="005C28F7"/>
    <w:rsid w:val="005C2A29"/>
    <w:rsid w:val="005C2C1F"/>
    <w:rsid w:val="005C2FF5"/>
    <w:rsid w:val="005C36C7"/>
    <w:rsid w:val="005C3708"/>
    <w:rsid w:val="005C395C"/>
    <w:rsid w:val="005C4143"/>
    <w:rsid w:val="005C445B"/>
    <w:rsid w:val="005C4D49"/>
    <w:rsid w:val="005C5015"/>
    <w:rsid w:val="005C52FD"/>
    <w:rsid w:val="005C543B"/>
    <w:rsid w:val="005C55E0"/>
    <w:rsid w:val="005C59D1"/>
    <w:rsid w:val="005C6656"/>
    <w:rsid w:val="005C6A2A"/>
    <w:rsid w:val="005C6EE9"/>
    <w:rsid w:val="005C70B4"/>
    <w:rsid w:val="005C70DF"/>
    <w:rsid w:val="005C7668"/>
    <w:rsid w:val="005C7A2B"/>
    <w:rsid w:val="005D0135"/>
    <w:rsid w:val="005D0C48"/>
    <w:rsid w:val="005D11A4"/>
    <w:rsid w:val="005D137D"/>
    <w:rsid w:val="005D1796"/>
    <w:rsid w:val="005D204E"/>
    <w:rsid w:val="005D2240"/>
    <w:rsid w:val="005D26EB"/>
    <w:rsid w:val="005D301A"/>
    <w:rsid w:val="005D3909"/>
    <w:rsid w:val="005D4107"/>
    <w:rsid w:val="005D4860"/>
    <w:rsid w:val="005D4918"/>
    <w:rsid w:val="005D4923"/>
    <w:rsid w:val="005D4E80"/>
    <w:rsid w:val="005D4F2D"/>
    <w:rsid w:val="005D5205"/>
    <w:rsid w:val="005D5718"/>
    <w:rsid w:val="005D71AE"/>
    <w:rsid w:val="005D732D"/>
    <w:rsid w:val="005D7728"/>
    <w:rsid w:val="005D78D0"/>
    <w:rsid w:val="005D7A15"/>
    <w:rsid w:val="005E007B"/>
    <w:rsid w:val="005E0359"/>
    <w:rsid w:val="005E0746"/>
    <w:rsid w:val="005E09B7"/>
    <w:rsid w:val="005E11FD"/>
    <w:rsid w:val="005E156A"/>
    <w:rsid w:val="005E16C0"/>
    <w:rsid w:val="005E19A4"/>
    <w:rsid w:val="005E1BA4"/>
    <w:rsid w:val="005E1BA9"/>
    <w:rsid w:val="005E2174"/>
    <w:rsid w:val="005E21BF"/>
    <w:rsid w:val="005E21C3"/>
    <w:rsid w:val="005E2649"/>
    <w:rsid w:val="005E27D8"/>
    <w:rsid w:val="005E29B1"/>
    <w:rsid w:val="005E2C35"/>
    <w:rsid w:val="005E2E5E"/>
    <w:rsid w:val="005E3C95"/>
    <w:rsid w:val="005E4B73"/>
    <w:rsid w:val="005E4EC8"/>
    <w:rsid w:val="005E5156"/>
    <w:rsid w:val="005E5A75"/>
    <w:rsid w:val="005E6911"/>
    <w:rsid w:val="005E71B0"/>
    <w:rsid w:val="005E71CD"/>
    <w:rsid w:val="005E7448"/>
    <w:rsid w:val="005E7532"/>
    <w:rsid w:val="005E78E8"/>
    <w:rsid w:val="005E7A4B"/>
    <w:rsid w:val="005E7E18"/>
    <w:rsid w:val="005F00EF"/>
    <w:rsid w:val="005F013F"/>
    <w:rsid w:val="005F05DD"/>
    <w:rsid w:val="005F05E7"/>
    <w:rsid w:val="005F10D7"/>
    <w:rsid w:val="005F1781"/>
    <w:rsid w:val="005F1F90"/>
    <w:rsid w:val="005F20B8"/>
    <w:rsid w:val="005F214F"/>
    <w:rsid w:val="005F2150"/>
    <w:rsid w:val="005F2161"/>
    <w:rsid w:val="005F21DE"/>
    <w:rsid w:val="005F2538"/>
    <w:rsid w:val="005F2875"/>
    <w:rsid w:val="005F2B93"/>
    <w:rsid w:val="005F2C51"/>
    <w:rsid w:val="005F2C83"/>
    <w:rsid w:val="005F2E70"/>
    <w:rsid w:val="005F3186"/>
    <w:rsid w:val="005F3261"/>
    <w:rsid w:val="005F37BF"/>
    <w:rsid w:val="005F38AB"/>
    <w:rsid w:val="005F38B7"/>
    <w:rsid w:val="005F3AE6"/>
    <w:rsid w:val="005F3CDA"/>
    <w:rsid w:val="005F3E2D"/>
    <w:rsid w:val="005F3EC0"/>
    <w:rsid w:val="005F3F3E"/>
    <w:rsid w:val="005F4C7C"/>
    <w:rsid w:val="005F5190"/>
    <w:rsid w:val="005F5E4F"/>
    <w:rsid w:val="005F69E1"/>
    <w:rsid w:val="005F6A3E"/>
    <w:rsid w:val="005F6B63"/>
    <w:rsid w:val="005F717B"/>
    <w:rsid w:val="005F7B66"/>
    <w:rsid w:val="005F7D85"/>
    <w:rsid w:val="005F7FE6"/>
    <w:rsid w:val="006009A2"/>
    <w:rsid w:val="00600BB1"/>
    <w:rsid w:val="00600CB1"/>
    <w:rsid w:val="00600FE5"/>
    <w:rsid w:val="00601682"/>
    <w:rsid w:val="00601C87"/>
    <w:rsid w:val="00601F9E"/>
    <w:rsid w:val="0060302D"/>
    <w:rsid w:val="006032A4"/>
    <w:rsid w:val="00603511"/>
    <w:rsid w:val="00603BAA"/>
    <w:rsid w:val="00603EA5"/>
    <w:rsid w:val="00604471"/>
    <w:rsid w:val="00604B84"/>
    <w:rsid w:val="00604F1C"/>
    <w:rsid w:val="00604F96"/>
    <w:rsid w:val="0060558B"/>
    <w:rsid w:val="00605F66"/>
    <w:rsid w:val="0060665D"/>
    <w:rsid w:val="00606E3D"/>
    <w:rsid w:val="00606EEF"/>
    <w:rsid w:val="00606F42"/>
    <w:rsid w:val="006073F1"/>
    <w:rsid w:val="0060749B"/>
    <w:rsid w:val="006101ED"/>
    <w:rsid w:val="00610342"/>
    <w:rsid w:val="00610369"/>
    <w:rsid w:val="0061050C"/>
    <w:rsid w:val="0061056F"/>
    <w:rsid w:val="00610691"/>
    <w:rsid w:val="0061073F"/>
    <w:rsid w:val="00610908"/>
    <w:rsid w:val="00610C79"/>
    <w:rsid w:val="006110BB"/>
    <w:rsid w:val="00611268"/>
    <w:rsid w:val="00611EF4"/>
    <w:rsid w:val="00612A7A"/>
    <w:rsid w:val="00612B2B"/>
    <w:rsid w:val="00612BBB"/>
    <w:rsid w:val="006131C4"/>
    <w:rsid w:val="00613561"/>
    <w:rsid w:val="00613FD3"/>
    <w:rsid w:val="0061446C"/>
    <w:rsid w:val="00615397"/>
    <w:rsid w:val="006157EA"/>
    <w:rsid w:val="00615DCF"/>
    <w:rsid w:val="00617AF9"/>
    <w:rsid w:val="006201ED"/>
    <w:rsid w:val="00620607"/>
    <w:rsid w:val="006209C7"/>
    <w:rsid w:val="0062162F"/>
    <w:rsid w:val="0062214A"/>
    <w:rsid w:val="00622A4F"/>
    <w:rsid w:val="00623013"/>
    <w:rsid w:val="006239E1"/>
    <w:rsid w:val="00623CC5"/>
    <w:rsid w:val="0062426B"/>
    <w:rsid w:val="00624534"/>
    <w:rsid w:val="00624690"/>
    <w:rsid w:val="006248BD"/>
    <w:rsid w:val="00624D63"/>
    <w:rsid w:val="0062522B"/>
    <w:rsid w:val="00625868"/>
    <w:rsid w:val="006267C8"/>
    <w:rsid w:val="00626D37"/>
    <w:rsid w:val="00626EFE"/>
    <w:rsid w:val="00627602"/>
    <w:rsid w:val="00627676"/>
    <w:rsid w:val="00627D00"/>
    <w:rsid w:val="00627E1B"/>
    <w:rsid w:val="00627E6E"/>
    <w:rsid w:val="00627E88"/>
    <w:rsid w:val="00627F75"/>
    <w:rsid w:val="00630388"/>
    <w:rsid w:val="006305B7"/>
    <w:rsid w:val="00630693"/>
    <w:rsid w:val="006308BE"/>
    <w:rsid w:val="00630A31"/>
    <w:rsid w:val="006312D8"/>
    <w:rsid w:val="0063158C"/>
    <w:rsid w:val="006319C8"/>
    <w:rsid w:val="0063253B"/>
    <w:rsid w:val="0063265F"/>
    <w:rsid w:val="00632760"/>
    <w:rsid w:val="006327CB"/>
    <w:rsid w:val="006327CC"/>
    <w:rsid w:val="006329B0"/>
    <w:rsid w:val="006338B9"/>
    <w:rsid w:val="00633B85"/>
    <w:rsid w:val="00635117"/>
    <w:rsid w:val="00635193"/>
    <w:rsid w:val="0063530E"/>
    <w:rsid w:val="006359CD"/>
    <w:rsid w:val="00635EB0"/>
    <w:rsid w:val="006362B4"/>
    <w:rsid w:val="006362D4"/>
    <w:rsid w:val="0063682E"/>
    <w:rsid w:val="00636982"/>
    <w:rsid w:val="00636B2F"/>
    <w:rsid w:val="00636E7F"/>
    <w:rsid w:val="006377D5"/>
    <w:rsid w:val="00637866"/>
    <w:rsid w:val="00637878"/>
    <w:rsid w:val="00637957"/>
    <w:rsid w:val="00637FF4"/>
    <w:rsid w:val="006402DC"/>
    <w:rsid w:val="00640385"/>
    <w:rsid w:val="006404D3"/>
    <w:rsid w:val="00640675"/>
    <w:rsid w:val="006407A8"/>
    <w:rsid w:val="0064084B"/>
    <w:rsid w:val="00640BD8"/>
    <w:rsid w:val="00640E24"/>
    <w:rsid w:val="00641818"/>
    <w:rsid w:val="00641895"/>
    <w:rsid w:val="00641CE0"/>
    <w:rsid w:val="00642185"/>
    <w:rsid w:val="00642F2A"/>
    <w:rsid w:val="00643070"/>
    <w:rsid w:val="006431BB"/>
    <w:rsid w:val="0064320C"/>
    <w:rsid w:val="0064354D"/>
    <w:rsid w:val="006435C8"/>
    <w:rsid w:val="006441D7"/>
    <w:rsid w:val="00644666"/>
    <w:rsid w:val="00644E3F"/>
    <w:rsid w:val="006451BC"/>
    <w:rsid w:val="006456AF"/>
    <w:rsid w:val="0064594D"/>
    <w:rsid w:val="00646142"/>
    <w:rsid w:val="006465E2"/>
    <w:rsid w:val="00646645"/>
    <w:rsid w:val="00646B69"/>
    <w:rsid w:val="00646CA8"/>
    <w:rsid w:val="00647740"/>
    <w:rsid w:val="00650A78"/>
    <w:rsid w:val="00650ED7"/>
    <w:rsid w:val="00651003"/>
    <w:rsid w:val="00651AA5"/>
    <w:rsid w:val="00651CD4"/>
    <w:rsid w:val="00652151"/>
    <w:rsid w:val="0065227E"/>
    <w:rsid w:val="00652402"/>
    <w:rsid w:val="00652639"/>
    <w:rsid w:val="00652748"/>
    <w:rsid w:val="00652DE6"/>
    <w:rsid w:val="00652F19"/>
    <w:rsid w:val="00653320"/>
    <w:rsid w:val="00653449"/>
    <w:rsid w:val="00653F0F"/>
    <w:rsid w:val="006540BC"/>
    <w:rsid w:val="0065478F"/>
    <w:rsid w:val="00654B74"/>
    <w:rsid w:val="00655851"/>
    <w:rsid w:val="00656307"/>
    <w:rsid w:val="006566BD"/>
    <w:rsid w:val="0065672F"/>
    <w:rsid w:val="006567F2"/>
    <w:rsid w:val="0065730C"/>
    <w:rsid w:val="00657501"/>
    <w:rsid w:val="00657A76"/>
    <w:rsid w:val="00657D94"/>
    <w:rsid w:val="006619F7"/>
    <w:rsid w:val="006621C5"/>
    <w:rsid w:val="006621E1"/>
    <w:rsid w:val="006624F8"/>
    <w:rsid w:val="006636BA"/>
    <w:rsid w:val="0066436C"/>
    <w:rsid w:val="006645D3"/>
    <w:rsid w:val="00665312"/>
    <w:rsid w:val="0066573C"/>
    <w:rsid w:val="00665C77"/>
    <w:rsid w:val="006666FE"/>
    <w:rsid w:val="006706EA"/>
    <w:rsid w:val="00671848"/>
    <w:rsid w:val="00672275"/>
    <w:rsid w:val="00672A79"/>
    <w:rsid w:val="00672DC2"/>
    <w:rsid w:val="00672E5B"/>
    <w:rsid w:val="00672F65"/>
    <w:rsid w:val="0067300F"/>
    <w:rsid w:val="006730F7"/>
    <w:rsid w:val="00673905"/>
    <w:rsid w:val="006742BA"/>
    <w:rsid w:val="006747DC"/>
    <w:rsid w:val="00674A81"/>
    <w:rsid w:val="00674E55"/>
    <w:rsid w:val="00675358"/>
    <w:rsid w:val="006753C7"/>
    <w:rsid w:val="0067562F"/>
    <w:rsid w:val="006758B3"/>
    <w:rsid w:val="00675B6E"/>
    <w:rsid w:val="00676346"/>
    <w:rsid w:val="00676A17"/>
    <w:rsid w:val="00676FDC"/>
    <w:rsid w:val="00677D25"/>
    <w:rsid w:val="00677EBA"/>
    <w:rsid w:val="00680A63"/>
    <w:rsid w:val="00680B64"/>
    <w:rsid w:val="00680BDA"/>
    <w:rsid w:val="00680C6A"/>
    <w:rsid w:val="00680D1B"/>
    <w:rsid w:val="0068152F"/>
    <w:rsid w:val="0068180F"/>
    <w:rsid w:val="00681945"/>
    <w:rsid w:val="00681D3A"/>
    <w:rsid w:val="00681E3A"/>
    <w:rsid w:val="00682AB6"/>
    <w:rsid w:val="00682CCD"/>
    <w:rsid w:val="00684095"/>
    <w:rsid w:val="006840B7"/>
    <w:rsid w:val="006841A9"/>
    <w:rsid w:val="00684336"/>
    <w:rsid w:val="00684763"/>
    <w:rsid w:val="00684A20"/>
    <w:rsid w:val="00684E96"/>
    <w:rsid w:val="00685150"/>
    <w:rsid w:val="006853EB"/>
    <w:rsid w:val="00685498"/>
    <w:rsid w:val="00685546"/>
    <w:rsid w:val="006855EC"/>
    <w:rsid w:val="0068618C"/>
    <w:rsid w:val="00686268"/>
    <w:rsid w:val="00686E91"/>
    <w:rsid w:val="00687953"/>
    <w:rsid w:val="006902CD"/>
    <w:rsid w:val="006903F2"/>
    <w:rsid w:val="00690A97"/>
    <w:rsid w:val="006912D3"/>
    <w:rsid w:val="006918BE"/>
    <w:rsid w:val="00691BCF"/>
    <w:rsid w:val="0069202A"/>
    <w:rsid w:val="006928E9"/>
    <w:rsid w:val="006934AB"/>
    <w:rsid w:val="00693516"/>
    <w:rsid w:val="006937FB"/>
    <w:rsid w:val="00693A91"/>
    <w:rsid w:val="006942EB"/>
    <w:rsid w:val="006948A4"/>
    <w:rsid w:val="00695188"/>
    <w:rsid w:val="0069519C"/>
    <w:rsid w:val="006952D4"/>
    <w:rsid w:val="00695B30"/>
    <w:rsid w:val="00695FF0"/>
    <w:rsid w:val="00696740"/>
    <w:rsid w:val="00696934"/>
    <w:rsid w:val="0069777A"/>
    <w:rsid w:val="00697E41"/>
    <w:rsid w:val="006A015E"/>
    <w:rsid w:val="006A078E"/>
    <w:rsid w:val="006A07A8"/>
    <w:rsid w:val="006A07E6"/>
    <w:rsid w:val="006A0F36"/>
    <w:rsid w:val="006A19C4"/>
    <w:rsid w:val="006A2A1B"/>
    <w:rsid w:val="006A2AD1"/>
    <w:rsid w:val="006A2B88"/>
    <w:rsid w:val="006A2C92"/>
    <w:rsid w:val="006A2EAB"/>
    <w:rsid w:val="006A3064"/>
    <w:rsid w:val="006A32CB"/>
    <w:rsid w:val="006A354C"/>
    <w:rsid w:val="006A3A17"/>
    <w:rsid w:val="006A3A6E"/>
    <w:rsid w:val="006A4359"/>
    <w:rsid w:val="006A4505"/>
    <w:rsid w:val="006A47D5"/>
    <w:rsid w:val="006A4B41"/>
    <w:rsid w:val="006A543A"/>
    <w:rsid w:val="006A5775"/>
    <w:rsid w:val="006A5CD3"/>
    <w:rsid w:val="006A5CD8"/>
    <w:rsid w:val="006A60BA"/>
    <w:rsid w:val="006A65FA"/>
    <w:rsid w:val="006A68B1"/>
    <w:rsid w:val="006A6EEF"/>
    <w:rsid w:val="006A7041"/>
    <w:rsid w:val="006A7683"/>
    <w:rsid w:val="006A7D3B"/>
    <w:rsid w:val="006A7E0A"/>
    <w:rsid w:val="006A7F8A"/>
    <w:rsid w:val="006B0090"/>
    <w:rsid w:val="006B090E"/>
    <w:rsid w:val="006B0C86"/>
    <w:rsid w:val="006B0EFC"/>
    <w:rsid w:val="006B11B6"/>
    <w:rsid w:val="006B153A"/>
    <w:rsid w:val="006B1BA8"/>
    <w:rsid w:val="006B20C8"/>
    <w:rsid w:val="006B2324"/>
    <w:rsid w:val="006B2B8C"/>
    <w:rsid w:val="006B2C8F"/>
    <w:rsid w:val="006B3836"/>
    <w:rsid w:val="006B3B40"/>
    <w:rsid w:val="006B3BA6"/>
    <w:rsid w:val="006B44ED"/>
    <w:rsid w:val="006B4614"/>
    <w:rsid w:val="006B5439"/>
    <w:rsid w:val="006B5AAF"/>
    <w:rsid w:val="006B645E"/>
    <w:rsid w:val="006B646B"/>
    <w:rsid w:val="006B6593"/>
    <w:rsid w:val="006B6691"/>
    <w:rsid w:val="006B6925"/>
    <w:rsid w:val="006B6FF3"/>
    <w:rsid w:val="006B7204"/>
    <w:rsid w:val="006B7318"/>
    <w:rsid w:val="006B7421"/>
    <w:rsid w:val="006B76BA"/>
    <w:rsid w:val="006C0062"/>
    <w:rsid w:val="006C0478"/>
    <w:rsid w:val="006C0ADE"/>
    <w:rsid w:val="006C0E33"/>
    <w:rsid w:val="006C14FA"/>
    <w:rsid w:val="006C1517"/>
    <w:rsid w:val="006C1E61"/>
    <w:rsid w:val="006C22C7"/>
    <w:rsid w:val="006C3247"/>
    <w:rsid w:val="006C3501"/>
    <w:rsid w:val="006C3F51"/>
    <w:rsid w:val="006C4CD9"/>
    <w:rsid w:val="006C4DA4"/>
    <w:rsid w:val="006C54AC"/>
    <w:rsid w:val="006C5588"/>
    <w:rsid w:val="006C58DA"/>
    <w:rsid w:val="006C5947"/>
    <w:rsid w:val="006C5D6D"/>
    <w:rsid w:val="006C5E34"/>
    <w:rsid w:val="006C6022"/>
    <w:rsid w:val="006C636D"/>
    <w:rsid w:val="006C78A9"/>
    <w:rsid w:val="006C7D29"/>
    <w:rsid w:val="006D0925"/>
    <w:rsid w:val="006D119A"/>
    <w:rsid w:val="006D15B7"/>
    <w:rsid w:val="006D16F7"/>
    <w:rsid w:val="006D2534"/>
    <w:rsid w:val="006D27C2"/>
    <w:rsid w:val="006D2924"/>
    <w:rsid w:val="006D2BC0"/>
    <w:rsid w:val="006D2C1F"/>
    <w:rsid w:val="006D2F34"/>
    <w:rsid w:val="006D343A"/>
    <w:rsid w:val="006D3719"/>
    <w:rsid w:val="006D48FC"/>
    <w:rsid w:val="006D4948"/>
    <w:rsid w:val="006D5027"/>
    <w:rsid w:val="006D523C"/>
    <w:rsid w:val="006D52AD"/>
    <w:rsid w:val="006D5874"/>
    <w:rsid w:val="006D587B"/>
    <w:rsid w:val="006D5A06"/>
    <w:rsid w:val="006D5CBA"/>
    <w:rsid w:val="006D6010"/>
    <w:rsid w:val="006D618C"/>
    <w:rsid w:val="006D6A6B"/>
    <w:rsid w:val="006D72DB"/>
    <w:rsid w:val="006D76BF"/>
    <w:rsid w:val="006D77C0"/>
    <w:rsid w:val="006E028B"/>
    <w:rsid w:val="006E0B48"/>
    <w:rsid w:val="006E0ECB"/>
    <w:rsid w:val="006E1541"/>
    <w:rsid w:val="006E1A2F"/>
    <w:rsid w:val="006E1B65"/>
    <w:rsid w:val="006E1CA7"/>
    <w:rsid w:val="006E2DDF"/>
    <w:rsid w:val="006E3099"/>
    <w:rsid w:val="006E3A95"/>
    <w:rsid w:val="006E4BA2"/>
    <w:rsid w:val="006E4D98"/>
    <w:rsid w:val="006E4F74"/>
    <w:rsid w:val="006E5277"/>
    <w:rsid w:val="006E52C1"/>
    <w:rsid w:val="006E53BB"/>
    <w:rsid w:val="006E5FDD"/>
    <w:rsid w:val="006E6D80"/>
    <w:rsid w:val="006E6EC3"/>
    <w:rsid w:val="006E7BE0"/>
    <w:rsid w:val="006F013F"/>
    <w:rsid w:val="006F09B3"/>
    <w:rsid w:val="006F0ACD"/>
    <w:rsid w:val="006F1032"/>
    <w:rsid w:val="006F14E3"/>
    <w:rsid w:val="006F161E"/>
    <w:rsid w:val="006F1F6E"/>
    <w:rsid w:val="006F2054"/>
    <w:rsid w:val="006F2301"/>
    <w:rsid w:val="006F25DE"/>
    <w:rsid w:val="006F2736"/>
    <w:rsid w:val="006F2DDC"/>
    <w:rsid w:val="006F350B"/>
    <w:rsid w:val="006F3828"/>
    <w:rsid w:val="006F382A"/>
    <w:rsid w:val="006F3A6F"/>
    <w:rsid w:val="006F3FAD"/>
    <w:rsid w:val="006F4836"/>
    <w:rsid w:val="006F4C46"/>
    <w:rsid w:val="006F52D2"/>
    <w:rsid w:val="006F5565"/>
    <w:rsid w:val="006F5D6D"/>
    <w:rsid w:val="006F5EC9"/>
    <w:rsid w:val="006F6F6B"/>
    <w:rsid w:val="00700D09"/>
    <w:rsid w:val="00700F21"/>
    <w:rsid w:val="007017B5"/>
    <w:rsid w:val="00701850"/>
    <w:rsid w:val="007018AB"/>
    <w:rsid w:val="00701AB8"/>
    <w:rsid w:val="00701E7C"/>
    <w:rsid w:val="00701E94"/>
    <w:rsid w:val="0070269B"/>
    <w:rsid w:val="00702CDE"/>
    <w:rsid w:val="007032DB"/>
    <w:rsid w:val="00703975"/>
    <w:rsid w:val="00703F2C"/>
    <w:rsid w:val="007041CC"/>
    <w:rsid w:val="00704443"/>
    <w:rsid w:val="0070467F"/>
    <w:rsid w:val="00704C03"/>
    <w:rsid w:val="00704C1D"/>
    <w:rsid w:val="0070529D"/>
    <w:rsid w:val="007052D8"/>
    <w:rsid w:val="0070551A"/>
    <w:rsid w:val="007055C5"/>
    <w:rsid w:val="007062D1"/>
    <w:rsid w:val="00706631"/>
    <w:rsid w:val="007076E1"/>
    <w:rsid w:val="007077A1"/>
    <w:rsid w:val="00707ED0"/>
    <w:rsid w:val="00710153"/>
    <w:rsid w:val="007102F0"/>
    <w:rsid w:val="007107BF"/>
    <w:rsid w:val="007109EC"/>
    <w:rsid w:val="00710AF9"/>
    <w:rsid w:val="007112BA"/>
    <w:rsid w:val="0071159B"/>
    <w:rsid w:val="007115BC"/>
    <w:rsid w:val="00711C26"/>
    <w:rsid w:val="0071226F"/>
    <w:rsid w:val="00712483"/>
    <w:rsid w:val="00712BE6"/>
    <w:rsid w:val="00713326"/>
    <w:rsid w:val="00713C77"/>
    <w:rsid w:val="00713E02"/>
    <w:rsid w:val="007142F1"/>
    <w:rsid w:val="00714959"/>
    <w:rsid w:val="00714A2F"/>
    <w:rsid w:val="00714A47"/>
    <w:rsid w:val="00714AF7"/>
    <w:rsid w:val="0071505C"/>
    <w:rsid w:val="00715520"/>
    <w:rsid w:val="0071582F"/>
    <w:rsid w:val="00715DB6"/>
    <w:rsid w:val="00716191"/>
    <w:rsid w:val="00716241"/>
    <w:rsid w:val="00716F5F"/>
    <w:rsid w:val="007174E8"/>
    <w:rsid w:val="0071779E"/>
    <w:rsid w:val="00717AA0"/>
    <w:rsid w:val="00717C8F"/>
    <w:rsid w:val="00717CB5"/>
    <w:rsid w:val="007204B6"/>
    <w:rsid w:val="007204F8"/>
    <w:rsid w:val="00720CA6"/>
    <w:rsid w:val="00720E12"/>
    <w:rsid w:val="00721528"/>
    <w:rsid w:val="007215F5"/>
    <w:rsid w:val="00721CCB"/>
    <w:rsid w:val="0072309A"/>
    <w:rsid w:val="00723222"/>
    <w:rsid w:val="0072332D"/>
    <w:rsid w:val="00723690"/>
    <w:rsid w:val="00723AC4"/>
    <w:rsid w:val="007240A7"/>
    <w:rsid w:val="00724B69"/>
    <w:rsid w:val="00724E80"/>
    <w:rsid w:val="00724FA2"/>
    <w:rsid w:val="00724FBE"/>
    <w:rsid w:val="0072581A"/>
    <w:rsid w:val="00725F94"/>
    <w:rsid w:val="0072601C"/>
    <w:rsid w:val="00726A1B"/>
    <w:rsid w:val="00726B37"/>
    <w:rsid w:val="00727538"/>
    <w:rsid w:val="0072765F"/>
    <w:rsid w:val="0072781C"/>
    <w:rsid w:val="00727B9D"/>
    <w:rsid w:val="00727E0A"/>
    <w:rsid w:val="0073046E"/>
    <w:rsid w:val="00730F93"/>
    <w:rsid w:val="00731304"/>
    <w:rsid w:val="00731B6C"/>
    <w:rsid w:val="00732225"/>
    <w:rsid w:val="0073224F"/>
    <w:rsid w:val="00732402"/>
    <w:rsid w:val="00733626"/>
    <w:rsid w:val="007338BF"/>
    <w:rsid w:val="00733927"/>
    <w:rsid w:val="00733DBB"/>
    <w:rsid w:val="0073410C"/>
    <w:rsid w:val="007341C9"/>
    <w:rsid w:val="00735194"/>
    <w:rsid w:val="007353D0"/>
    <w:rsid w:val="00735525"/>
    <w:rsid w:val="00735590"/>
    <w:rsid w:val="00735A3F"/>
    <w:rsid w:val="0073629E"/>
    <w:rsid w:val="00736B15"/>
    <w:rsid w:val="00736B3A"/>
    <w:rsid w:val="00736F95"/>
    <w:rsid w:val="007375C7"/>
    <w:rsid w:val="007378F9"/>
    <w:rsid w:val="00737954"/>
    <w:rsid w:val="00737A03"/>
    <w:rsid w:val="00737A6C"/>
    <w:rsid w:val="00737CAF"/>
    <w:rsid w:val="00737CBF"/>
    <w:rsid w:val="00737D4D"/>
    <w:rsid w:val="00737EC6"/>
    <w:rsid w:val="00740505"/>
    <w:rsid w:val="007405A9"/>
    <w:rsid w:val="00740A30"/>
    <w:rsid w:val="00740AAA"/>
    <w:rsid w:val="00740BF0"/>
    <w:rsid w:val="00740CBF"/>
    <w:rsid w:val="00741192"/>
    <w:rsid w:val="00741608"/>
    <w:rsid w:val="00741686"/>
    <w:rsid w:val="00741ED2"/>
    <w:rsid w:val="00741EE8"/>
    <w:rsid w:val="007423A9"/>
    <w:rsid w:val="0074242E"/>
    <w:rsid w:val="00742850"/>
    <w:rsid w:val="00742C8C"/>
    <w:rsid w:val="00742DE5"/>
    <w:rsid w:val="00743832"/>
    <w:rsid w:val="00743E01"/>
    <w:rsid w:val="00744161"/>
    <w:rsid w:val="007442F0"/>
    <w:rsid w:val="007445BB"/>
    <w:rsid w:val="00746B2D"/>
    <w:rsid w:val="00746C37"/>
    <w:rsid w:val="00746DBE"/>
    <w:rsid w:val="007476D2"/>
    <w:rsid w:val="007477A1"/>
    <w:rsid w:val="00747A97"/>
    <w:rsid w:val="00747AF0"/>
    <w:rsid w:val="00747CE9"/>
    <w:rsid w:val="00747FE5"/>
    <w:rsid w:val="007504F0"/>
    <w:rsid w:val="00750850"/>
    <w:rsid w:val="007511BC"/>
    <w:rsid w:val="0075129A"/>
    <w:rsid w:val="0075133C"/>
    <w:rsid w:val="007513B2"/>
    <w:rsid w:val="007517C1"/>
    <w:rsid w:val="00751834"/>
    <w:rsid w:val="00751941"/>
    <w:rsid w:val="00751A47"/>
    <w:rsid w:val="00751DA4"/>
    <w:rsid w:val="00751FAC"/>
    <w:rsid w:val="00752CAA"/>
    <w:rsid w:val="0075326D"/>
    <w:rsid w:val="00753322"/>
    <w:rsid w:val="007535B2"/>
    <w:rsid w:val="00753621"/>
    <w:rsid w:val="00753EF2"/>
    <w:rsid w:val="00754083"/>
    <w:rsid w:val="007546AF"/>
    <w:rsid w:val="007548EA"/>
    <w:rsid w:val="007552B0"/>
    <w:rsid w:val="007553FD"/>
    <w:rsid w:val="0075576A"/>
    <w:rsid w:val="00755807"/>
    <w:rsid w:val="00755DB0"/>
    <w:rsid w:val="00755F0B"/>
    <w:rsid w:val="007573F2"/>
    <w:rsid w:val="00761A06"/>
    <w:rsid w:val="00761D7C"/>
    <w:rsid w:val="00761F43"/>
    <w:rsid w:val="00762F8E"/>
    <w:rsid w:val="00763126"/>
    <w:rsid w:val="0076316B"/>
    <w:rsid w:val="0076316C"/>
    <w:rsid w:val="00763195"/>
    <w:rsid w:val="007631A6"/>
    <w:rsid w:val="0076447B"/>
    <w:rsid w:val="00764A4F"/>
    <w:rsid w:val="00765120"/>
    <w:rsid w:val="007655DB"/>
    <w:rsid w:val="00765737"/>
    <w:rsid w:val="007657F7"/>
    <w:rsid w:val="0076684E"/>
    <w:rsid w:val="00766C0A"/>
    <w:rsid w:val="007672B3"/>
    <w:rsid w:val="0076745B"/>
    <w:rsid w:val="00767D93"/>
    <w:rsid w:val="0077051D"/>
    <w:rsid w:val="007712E5"/>
    <w:rsid w:val="00771B95"/>
    <w:rsid w:val="00771EFA"/>
    <w:rsid w:val="00772465"/>
    <w:rsid w:val="007727A7"/>
    <w:rsid w:val="00772968"/>
    <w:rsid w:val="00773CB9"/>
    <w:rsid w:val="007744AF"/>
    <w:rsid w:val="007744B1"/>
    <w:rsid w:val="007745E1"/>
    <w:rsid w:val="007746B9"/>
    <w:rsid w:val="0077498E"/>
    <w:rsid w:val="00774BF5"/>
    <w:rsid w:val="0077549A"/>
    <w:rsid w:val="00775AC9"/>
    <w:rsid w:val="007760AB"/>
    <w:rsid w:val="007765DA"/>
    <w:rsid w:val="007772EE"/>
    <w:rsid w:val="007775AF"/>
    <w:rsid w:val="00777F09"/>
    <w:rsid w:val="0078025B"/>
    <w:rsid w:val="007804B9"/>
    <w:rsid w:val="00780755"/>
    <w:rsid w:val="00780F2F"/>
    <w:rsid w:val="00781C2B"/>
    <w:rsid w:val="007823D1"/>
    <w:rsid w:val="007826F4"/>
    <w:rsid w:val="00782C61"/>
    <w:rsid w:val="00782D49"/>
    <w:rsid w:val="00783B57"/>
    <w:rsid w:val="00783CE1"/>
    <w:rsid w:val="00783DA7"/>
    <w:rsid w:val="00783F65"/>
    <w:rsid w:val="0078426B"/>
    <w:rsid w:val="0078435E"/>
    <w:rsid w:val="007844A6"/>
    <w:rsid w:val="0078470E"/>
    <w:rsid w:val="00784933"/>
    <w:rsid w:val="00785265"/>
    <w:rsid w:val="00785620"/>
    <w:rsid w:val="00785741"/>
    <w:rsid w:val="00785CEC"/>
    <w:rsid w:val="007864D7"/>
    <w:rsid w:val="00786751"/>
    <w:rsid w:val="0078690F"/>
    <w:rsid w:val="007870F7"/>
    <w:rsid w:val="00787977"/>
    <w:rsid w:val="00787F27"/>
    <w:rsid w:val="00790087"/>
    <w:rsid w:val="00790446"/>
    <w:rsid w:val="00791456"/>
    <w:rsid w:val="00791AF7"/>
    <w:rsid w:val="00791C6F"/>
    <w:rsid w:val="007923B6"/>
    <w:rsid w:val="00792BF0"/>
    <w:rsid w:val="00792F30"/>
    <w:rsid w:val="007930A7"/>
    <w:rsid w:val="007930AE"/>
    <w:rsid w:val="00793570"/>
    <w:rsid w:val="00793E6A"/>
    <w:rsid w:val="007945CD"/>
    <w:rsid w:val="00794670"/>
    <w:rsid w:val="0079474C"/>
    <w:rsid w:val="007948D3"/>
    <w:rsid w:val="00794950"/>
    <w:rsid w:val="00794D32"/>
    <w:rsid w:val="00795123"/>
    <w:rsid w:val="007969CC"/>
    <w:rsid w:val="0079709A"/>
    <w:rsid w:val="007970AF"/>
    <w:rsid w:val="007A0490"/>
    <w:rsid w:val="007A0602"/>
    <w:rsid w:val="007A0B46"/>
    <w:rsid w:val="007A12B3"/>
    <w:rsid w:val="007A1E70"/>
    <w:rsid w:val="007A2245"/>
    <w:rsid w:val="007A30E2"/>
    <w:rsid w:val="007A34B8"/>
    <w:rsid w:val="007A3AD8"/>
    <w:rsid w:val="007A3F1F"/>
    <w:rsid w:val="007A45BD"/>
    <w:rsid w:val="007A4920"/>
    <w:rsid w:val="007A4BF4"/>
    <w:rsid w:val="007A5B70"/>
    <w:rsid w:val="007A625E"/>
    <w:rsid w:val="007A6CF7"/>
    <w:rsid w:val="007A74FB"/>
    <w:rsid w:val="007A7DBA"/>
    <w:rsid w:val="007B0398"/>
    <w:rsid w:val="007B060B"/>
    <w:rsid w:val="007B0652"/>
    <w:rsid w:val="007B068B"/>
    <w:rsid w:val="007B06A0"/>
    <w:rsid w:val="007B08C8"/>
    <w:rsid w:val="007B08F8"/>
    <w:rsid w:val="007B0CDE"/>
    <w:rsid w:val="007B21DF"/>
    <w:rsid w:val="007B2ADF"/>
    <w:rsid w:val="007B2CE5"/>
    <w:rsid w:val="007B3BDB"/>
    <w:rsid w:val="007B49A1"/>
    <w:rsid w:val="007B4A48"/>
    <w:rsid w:val="007B4E3B"/>
    <w:rsid w:val="007B5E68"/>
    <w:rsid w:val="007B6D22"/>
    <w:rsid w:val="007B6E38"/>
    <w:rsid w:val="007B70B8"/>
    <w:rsid w:val="007B73D0"/>
    <w:rsid w:val="007B7700"/>
    <w:rsid w:val="007B77E8"/>
    <w:rsid w:val="007B7CF2"/>
    <w:rsid w:val="007C0727"/>
    <w:rsid w:val="007C07E3"/>
    <w:rsid w:val="007C0B8E"/>
    <w:rsid w:val="007C1045"/>
    <w:rsid w:val="007C133E"/>
    <w:rsid w:val="007C14B5"/>
    <w:rsid w:val="007C1BC0"/>
    <w:rsid w:val="007C1DD9"/>
    <w:rsid w:val="007C1E71"/>
    <w:rsid w:val="007C2C1D"/>
    <w:rsid w:val="007C3153"/>
    <w:rsid w:val="007C330D"/>
    <w:rsid w:val="007C3594"/>
    <w:rsid w:val="007C35AE"/>
    <w:rsid w:val="007C3615"/>
    <w:rsid w:val="007C3A25"/>
    <w:rsid w:val="007C3BA1"/>
    <w:rsid w:val="007C3FFF"/>
    <w:rsid w:val="007C4713"/>
    <w:rsid w:val="007C5394"/>
    <w:rsid w:val="007C53FD"/>
    <w:rsid w:val="007C54D8"/>
    <w:rsid w:val="007C581A"/>
    <w:rsid w:val="007C5EA1"/>
    <w:rsid w:val="007C6353"/>
    <w:rsid w:val="007C693D"/>
    <w:rsid w:val="007C7062"/>
    <w:rsid w:val="007C74BF"/>
    <w:rsid w:val="007C7B96"/>
    <w:rsid w:val="007C7D2E"/>
    <w:rsid w:val="007D107B"/>
    <w:rsid w:val="007D10EB"/>
    <w:rsid w:val="007D12E4"/>
    <w:rsid w:val="007D1448"/>
    <w:rsid w:val="007D153A"/>
    <w:rsid w:val="007D26FE"/>
    <w:rsid w:val="007D277B"/>
    <w:rsid w:val="007D28DA"/>
    <w:rsid w:val="007D2980"/>
    <w:rsid w:val="007D2A4E"/>
    <w:rsid w:val="007D2D2F"/>
    <w:rsid w:val="007D305A"/>
    <w:rsid w:val="007D3321"/>
    <w:rsid w:val="007D38F6"/>
    <w:rsid w:val="007D3E0B"/>
    <w:rsid w:val="007D3E6B"/>
    <w:rsid w:val="007D3F5F"/>
    <w:rsid w:val="007D4798"/>
    <w:rsid w:val="007D4A2A"/>
    <w:rsid w:val="007D4AD7"/>
    <w:rsid w:val="007D54C0"/>
    <w:rsid w:val="007D669B"/>
    <w:rsid w:val="007D6773"/>
    <w:rsid w:val="007D6B7C"/>
    <w:rsid w:val="007D7132"/>
    <w:rsid w:val="007D760B"/>
    <w:rsid w:val="007D78A7"/>
    <w:rsid w:val="007E0363"/>
    <w:rsid w:val="007E0721"/>
    <w:rsid w:val="007E0737"/>
    <w:rsid w:val="007E128C"/>
    <w:rsid w:val="007E1674"/>
    <w:rsid w:val="007E1942"/>
    <w:rsid w:val="007E19FC"/>
    <w:rsid w:val="007E1F8F"/>
    <w:rsid w:val="007E21CD"/>
    <w:rsid w:val="007E2836"/>
    <w:rsid w:val="007E29EF"/>
    <w:rsid w:val="007E32AC"/>
    <w:rsid w:val="007E3400"/>
    <w:rsid w:val="007E3B78"/>
    <w:rsid w:val="007E4461"/>
    <w:rsid w:val="007E4482"/>
    <w:rsid w:val="007E49A5"/>
    <w:rsid w:val="007E4A9B"/>
    <w:rsid w:val="007E4C04"/>
    <w:rsid w:val="007E693D"/>
    <w:rsid w:val="007E74A8"/>
    <w:rsid w:val="007E755E"/>
    <w:rsid w:val="007E7FF3"/>
    <w:rsid w:val="007F05FA"/>
    <w:rsid w:val="007F0727"/>
    <w:rsid w:val="007F0A23"/>
    <w:rsid w:val="007F0CB8"/>
    <w:rsid w:val="007F0E39"/>
    <w:rsid w:val="007F0EAF"/>
    <w:rsid w:val="007F0FD2"/>
    <w:rsid w:val="007F1324"/>
    <w:rsid w:val="007F1B89"/>
    <w:rsid w:val="007F1C0A"/>
    <w:rsid w:val="007F1C21"/>
    <w:rsid w:val="007F2960"/>
    <w:rsid w:val="007F3712"/>
    <w:rsid w:val="007F3B92"/>
    <w:rsid w:val="007F439C"/>
    <w:rsid w:val="007F4507"/>
    <w:rsid w:val="007F51EA"/>
    <w:rsid w:val="007F5BDA"/>
    <w:rsid w:val="007F5F53"/>
    <w:rsid w:val="007F647B"/>
    <w:rsid w:val="007F669D"/>
    <w:rsid w:val="007F6759"/>
    <w:rsid w:val="007F6A03"/>
    <w:rsid w:val="007F6A4F"/>
    <w:rsid w:val="007F720B"/>
    <w:rsid w:val="007F73B0"/>
    <w:rsid w:val="007F7809"/>
    <w:rsid w:val="007F79E1"/>
    <w:rsid w:val="007F7A02"/>
    <w:rsid w:val="0080098E"/>
    <w:rsid w:val="00800A0A"/>
    <w:rsid w:val="00800D23"/>
    <w:rsid w:val="00800E0B"/>
    <w:rsid w:val="00800E12"/>
    <w:rsid w:val="0080159A"/>
    <w:rsid w:val="00801DC3"/>
    <w:rsid w:val="00802271"/>
    <w:rsid w:val="008028C6"/>
    <w:rsid w:val="008028F7"/>
    <w:rsid w:val="00802C20"/>
    <w:rsid w:val="00802D88"/>
    <w:rsid w:val="00802FA2"/>
    <w:rsid w:val="00802FE6"/>
    <w:rsid w:val="00803012"/>
    <w:rsid w:val="00803349"/>
    <w:rsid w:val="00803A1D"/>
    <w:rsid w:val="00803DBE"/>
    <w:rsid w:val="008041DB"/>
    <w:rsid w:val="008045BA"/>
    <w:rsid w:val="008049D2"/>
    <w:rsid w:val="00804AD1"/>
    <w:rsid w:val="0080506F"/>
    <w:rsid w:val="00805809"/>
    <w:rsid w:val="00805877"/>
    <w:rsid w:val="008058D6"/>
    <w:rsid w:val="0080689A"/>
    <w:rsid w:val="00806BE5"/>
    <w:rsid w:val="00806F6C"/>
    <w:rsid w:val="00810370"/>
    <w:rsid w:val="00810412"/>
    <w:rsid w:val="008104C3"/>
    <w:rsid w:val="0081080A"/>
    <w:rsid w:val="00810AA3"/>
    <w:rsid w:val="00810B30"/>
    <w:rsid w:val="00810F3D"/>
    <w:rsid w:val="0081126D"/>
    <w:rsid w:val="00811FDF"/>
    <w:rsid w:val="008124E7"/>
    <w:rsid w:val="00812B7D"/>
    <w:rsid w:val="00812E4A"/>
    <w:rsid w:val="0081357A"/>
    <w:rsid w:val="008138AF"/>
    <w:rsid w:val="00813C26"/>
    <w:rsid w:val="00813DE0"/>
    <w:rsid w:val="0081471B"/>
    <w:rsid w:val="00814CC6"/>
    <w:rsid w:val="00815C45"/>
    <w:rsid w:val="008163AF"/>
    <w:rsid w:val="00816420"/>
    <w:rsid w:val="00816644"/>
    <w:rsid w:val="00816A2C"/>
    <w:rsid w:val="008170E0"/>
    <w:rsid w:val="008173A1"/>
    <w:rsid w:val="00817938"/>
    <w:rsid w:val="00817F3C"/>
    <w:rsid w:val="00820271"/>
    <w:rsid w:val="00820D7B"/>
    <w:rsid w:val="008211A7"/>
    <w:rsid w:val="00821446"/>
    <w:rsid w:val="008217A3"/>
    <w:rsid w:val="00822050"/>
    <w:rsid w:val="0082210F"/>
    <w:rsid w:val="0082270C"/>
    <w:rsid w:val="00822CF2"/>
    <w:rsid w:val="00822DA7"/>
    <w:rsid w:val="008233D6"/>
    <w:rsid w:val="0082367C"/>
    <w:rsid w:val="008236CC"/>
    <w:rsid w:val="00823A26"/>
    <w:rsid w:val="00823AAE"/>
    <w:rsid w:val="00823E00"/>
    <w:rsid w:val="00823ED6"/>
    <w:rsid w:val="0082428C"/>
    <w:rsid w:val="0082490D"/>
    <w:rsid w:val="00824BD4"/>
    <w:rsid w:val="00825317"/>
    <w:rsid w:val="008254D8"/>
    <w:rsid w:val="00825671"/>
    <w:rsid w:val="00825782"/>
    <w:rsid w:val="00825D4B"/>
    <w:rsid w:val="008262C2"/>
    <w:rsid w:val="0082676A"/>
    <w:rsid w:val="00826835"/>
    <w:rsid w:val="00826B82"/>
    <w:rsid w:val="00826E52"/>
    <w:rsid w:val="008279F5"/>
    <w:rsid w:val="00827C01"/>
    <w:rsid w:val="00830272"/>
    <w:rsid w:val="0083041D"/>
    <w:rsid w:val="0083048A"/>
    <w:rsid w:val="008307EF"/>
    <w:rsid w:val="0083288A"/>
    <w:rsid w:val="00833128"/>
    <w:rsid w:val="0083313F"/>
    <w:rsid w:val="008336EB"/>
    <w:rsid w:val="00833E97"/>
    <w:rsid w:val="0083454A"/>
    <w:rsid w:val="00834C40"/>
    <w:rsid w:val="00834F64"/>
    <w:rsid w:val="0083530E"/>
    <w:rsid w:val="0083572C"/>
    <w:rsid w:val="00835C65"/>
    <w:rsid w:val="0083602F"/>
    <w:rsid w:val="00836193"/>
    <w:rsid w:val="008369AE"/>
    <w:rsid w:val="00836C1B"/>
    <w:rsid w:val="0083700C"/>
    <w:rsid w:val="008373C9"/>
    <w:rsid w:val="00837751"/>
    <w:rsid w:val="008379A9"/>
    <w:rsid w:val="00837A4B"/>
    <w:rsid w:val="00837C4A"/>
    <w:rsid w:val="00837FC8"/>
    <w:rsid w:val="008400C1"/>
    <w:rsid w:val="008402CE"/>
    <w:rsid w:val="00840EBC"/>
    <w:rsid w:val="00841A16"/>
    <w:rsid w:val="00842335"/>
    <w:rsid w:val="008426CD"/>
    <w:rsid w:val="0084272E"/>
    <w:rsid w:val="0084279A"/>
    <w:rsid w:val="0084299F"/>
    <w:rsid w:val="008430D4"/>
    <w:rsid w:val="0084356D"/>
    <w:rsid w:val="008436EB"/>
    <w:rsid w:val="008437B9"/>
    <w:rsid w:val="00843D28"/>
    <w:rsid w:val="00844118"/>
    <w:rsid w:val="00844B1E"/>
    <w:rsid w:val="00844ED5"/>
    <w:rsid w:val="00845A70"/>
    <w:rsid w:val="00845D3E"/>
    <w:rsid w:val="00845F2E"/>
    <w:rsid w:val="008461D1"/>
    <w:rsid w:val="00847590"/>
    <w:rsid w:val="00847CA1"/>
    <w:rsid w:val="008508FF"/>
    <w:rsid w:val="00851020"/>
    <w:rsid w:val="00851087"/>
    <w:rsid w:val="008516EC"/>
    <w:rsid w:val="008518C8"/>
    <w:rsid w:val="00851E90"/>
    <w:rsid w:val="008524AD"/>
    <w:rsid w:val="008525DE"/>
    <w:rsid w:val="00852F26"/>
    <w:rsid w:val="0085319E"/>
    <w:rsid w:val="00853AB9"/>
    <w:rsid w:val="00853B72"/>
    <w:rsid w:val="00853C49"/>
    <w:rsid w:val="00853E5A"/>
    <w:rsid w:val="008544EC"/>
    <w:rsid w:val="0085543F"/>
    <w:rsid w:val="008554F6"/>
    <w:rsid w:val="00856310"/>
    <w:rsid w:val="00856936"/>
    <w:rsid w:val="00856D19"/>
    <w:rsid w:val="008573C7"/>
    <w:rsid w:val="00857619"/>
    <w:rsid w:val="00860A04"/>
    <w:rsid w:val="00860EE5"/>
    <w:rsid w:val="00861B68"/>
    <w:rsid w:val="00861DAB"/>
    <w:rsid w:val="00861DBC"/>
    <w:rsid w:val="00862115"/>
    <w:rsid w:val="008632EF"/>
    <w:rsid w:val="00863C82"/>
    <w:rsid w:val="00863D0A"/>
    <w:rsid w:val="00863DE8"/>
    <w:rsid w:val="00863EE0"/>
    <w:rsid w:val="00863F2F"/>
    <w:rsid w:val="00863FC6"/>
    <w:rsid w:val="0086417A"/>
    <w:rsid w:val="00864481"/>
    <w:rsid w:val="0086541B"/>
    <w:rsid w:val="008659AD"/>
    <w:rsid w:val="00865E9D"/>
    <w:rsid w:val="00865F43"/>
    <w:rsid w:val="008662B7"/>
    <w:rsid w:val="00866D76"/>
    <w:rsid w:val="00867353"/>
    <w:rsid w:val="00867451"/>
    <w:rsid w:val="00867587"/>
    <w:rsid w:val="00867686"/>
    <w:rsid w:val="00867A25"/>
    <w:rsid w:val="00867EEB"/>
    <w:rsid w:val="008705D0"/>
    <w:rsid w:val="00870A90"/>
    <w:rsid w:val="008711F3"/>
    <w:rsid w:val="008712F9"/>
    <w:rsid w:val="008716B9"/>
    <w:rsid w:val="00871726"/>
    <w:rsid w:val="00871827"/>
    <w:rsid w:val="008727F8"/>
    <w:rsid w:val="00872C16"/>
    <w:rsid w:val="00872FE8"/>
    <w:rsid w:val="0087323A"/>
    <w:rsid w:val="008737CD"/>
    <w:rsid w:val="00873F1C"/>
    <w:rsid w:val="0087409F"/>
    <w:rsid w:val="00874842"/>
    <w:rsid w:val="00874BB6"/>
    <w:rsid w:val="00875047"/>
    <w:rsid w:val="008754B9"/>
    <w:rsid w:val="008756C3"/>
    <w:rsid w:val="00875931"/>
    <w:rsid w:val="008766A9"/>
    <w:rsid w:val="00876D87"/>
    <w:rsid w:val="0087710A"/>
    <w:rsid w:val="008771E4"/>
    <w:rsid w:val="008771EE"/>
    <w:rsid w:val="00880012"/>
    <w:rsid w:val="00880065"/>
    <w:rsid w:val="0088072D"/>
    <w:rsid w:val="00880B89"/>
    <w:rsid w:val="008822DA"/>
    <w:rsid w:val="0088240D"/>
    <w:rsid w:val="0088241D"/>
    <w:rsid w:val="00882779"/>
    <w:rsid w:val="008828D0"/>
    <w:rsid w:val="00882A3E"/>
    <w:rsid w:val="00882BCD"/>
    <w:rsid w:val="00882E42"/>
    <w:rsid w:val="00882E7E"/>
    <w:rsid w:val="00883243"/>
    <w:rsid w:val="00883388"/>
    <w:rsid w:val="008834AD"/>
    <w:rsid w:val="0088355D"/>
    <w:rsid w:val="008838FF"/>
    <w:rsid w:val="00884148"/>
    <w:rsid w:val="00884CF0"/>
    <w:rsid w:val="00884DCD"/>
    <w:rsid w:val="00884DF9"/>
    <w:rsid w:val="00885AF7"/>
    <w:rsid w:val="00885FB7"/>
    <w:rsid w:val="0088625A"/>
    <w:rsid w:val="00886DF4"/>
    <w:rsid w:val="00886EC7"/>
    <w:rsid w:val="0088715B"/>
    <w:rsid w:val="00887177"/>
    <w:rsid w:val="008874D7"/>
    <w:rsid w:val="0088758B"/>
    <w:rsid w:val="008876F4"/>
    <w:rsid w:val="00890561"/>
    <w:rsid w:val="00890630"/>
    <w:rsid w:val="00890CED"/>
    <w:rsid w:val="0089128D"/>
    <w:rsid w:val="008915B1"/>
    <w:rsid w:val="00891C0A"/>
    <w:rsid w:val="00891E92"/>
    <w:rsid w:val="00892376"/>
    <w:rsid w:val="008923A4"/>
    <w:rsid w:val="008929E8"/>
    <w:rsid w:val="00892C4C"/>
    <w:rsid w:val="00892D3F"/>
    <w:rsid w:val="00892D9E"/>
    <w:rsid w:val="0089309B"/>
    <w:rsid w:val="008931F1"/>
    <w:rsid w:val="00893872"/>
    <w:rsid w:val="00893A08"/>
    <w:rsid w:val="00893DB9"/>
    <w:rsid w:val="0089406B"/>
    <w:rsid w:val="008941AA"/>
    <w:rsid w:val="00894D7C"/>
    <w:rsid w:val="008952C0"/>
    <w:rsid w:val="00895682"/>
    <w:rsid w:val="00895F73"/>
    <w:rsid w:val="0089619F"/>
    <w:rsid w:val="00896343"/>
    <w:rsid w:val="00896510"/>
    <w:rsid w:val="0089681F"/>
    <w:rsid w:val="00896A5A"/>
    <w:rsid w:val="00896C7A"/>
    <w:rsid w:val="00896EF8"/>
    <w:rsid w:val="00897202"/>
    <w:rsid w:val="008976D4"/>
    <w:rsid w:val="00897A1A"/>
    <w:rsid w:val="00897CD6"/>
    <w:rsid w:val="008A08ED"/>
    <w:rsid w:val="008A1369"/>
    <w:rsid w:val="008A2063"/>
    <w:rsid w:val="008A23E2"/>
    <w:rsid w:val="008A2AAD"/>
    <w:rsid w:val="008A30C8"/>
    <w:rsid w:val="008A3101"/>
    <w:rsid w:val="008A31F5"/>
    <w:rsid w:val="008A3797"/>
    <w:rsid w:val="008A41FB"/>
    <w:rsid w:val="008A45B2"/>
    <w:rsid w:val="008A4C08"/>
    <w:rsid w:val="008A4EAA"/>
    <w:rsid w:val="008A4ED9"/>
    <w:rsid w:val="008A55BE"/>
    <w:rsid w:val="008A59AD"/>
    <w:rsid w:val="008A60EF"/>
    <w:rsid w:val="008A6A4A"/>
    <w:rsid w:val="008A6B8C"/>
    <w:rsid w:val="008A6C04"/>
    <w:rsid w:val="008A6C0A"/>
    <w:rsid w:val="008A7931"/>
    <w:rsid w:val="008A7D0D"/>
    <w:rsid w:val="008A7D22"/>
    <w:rsid w:val="008B0210"/>
    <w:rsid w:val="008B059C"/>
    <w:rsid w:val="008B06F3"/>
    <w:rsid w:val="008B1158"/>
    <w:rsid w:val="008B1774"/>
    <w:rsid w:val="008B2147"/>
    <w:rsid w:val="008B2573"/>
    <w:rsid w:val="008B2C87"/>
    <w:rsid w:val="008B40AA"/>
    <w:rsid w:val="008B46CA"/>
    <w:rsid w:val="008B46DA"/>
    <w:rsid w:val="008B532D"/>
    <w:rsid w:val="008B5C0F"/>
    <w:rsid w:val="008B5E94"/>
    <w:rsid w:val="008B67D6"/>
    <w:rsid w:val="008B6844"/>
    <w:rsid w:val="008B7094"/>
    <w:rsid w:val="008B70CD"/>
    <w:rsid w:val="008B760A"/>
    <w:rsid w:val="008B79C0"/>
    <w:rsid w:val="008B7E5E"/>
    <w:rsid w:val="008B7F03"/>
    <w:rsid w:val="008C050D"/>
    <w:rsid w:val="008C058D"/>
    <w:rsid w:val="008C05A5"/>
    <w:rsid w:val="008C06D9"/>
    <w:rsid w:val="008C07A2"/>
    <w:rsid w:val="008C0DCA"/>
    <w:rsid w:val="008C0DFE"/>
    <w:rsid w:val="008C1375"/>
    <w:rsid w:val="008C15A7"/>
    <w:rsid w:val="008C15D4"/>
    <w:rsid w:val="008C172F"/>
    <w:rsid w:val="008C1823"/>
    <w:rsid w:val="008C1F51"/>
    <w:rsid w:val="008C2D47"/>
    <w:rsid w:val="008C2F11"/>
    <w:rsid w:val="008C32BE"/>
    <w:rsid w:val="008C35DC"/>
    <w:rsid w:val="008C36D2"/>
    <w:rsid w:val="008C3A21"/>
    <w:rsid w:val="008C3AFE"/>
    <w:rsid w:val="008C3BDF"/>
    <w:rsid w:val="008C3C68"/>
    <w:rsid w:val="008C41A5"/>
    <w:rsid w:val="008C4675"/>
    <w:rsid w:val="008C482F"/>
    <w:rsid w:val="008C4AD6"/>
    <w:rsid w:val="008C52A9"/>
    <w:rsid w:val="008C54BE"/>
    <w:rsid w:val="008C59CC"/>
    <w:rsid w:val="008C5AE7"/>
    <w:rsid w:val="008C6016"/>
    <w:rsid w:val="008C6B99"/>
    <w:rsid w:val="008C6E3E"/>
    <w:rsid w:val="008C7549"/>
    <w:rsid w:val="008C7A92"/>
    <w:rsid w:val="008C7B76"/>
    <w:rsid w:val="008C7F69"/>
    <w:rsid w:val="008D08C3"/>
    <w:rsid w:val="008D1439"/>
    <w:rsid w:val="008D19A4"/>
    <w:rsid w:val="008D2103"/>
    <w:rsid w:val="008D25A5"/>
    <w:rsid w:val="008D2C19"/>
    <w:rsid w:val="008D2E80"/>
    <w:rsid w:val="008D3508"/>
    <w:rsid w:val="008D3B4B"/>
    <w:rsid w:val="008D40CF"/>
    <w:rsid w:val="008D50A5"/>
    <w:rsid w:val="008D520E"/>
    <w:rsid w:val="008D59C5"/>
    <w:rsid w:val="008D5B09"/>
    <w:rsid w:val="008D5F86"/>
    <w:rsid w:val="008D6B56"/>
    <w:rsid w:val="008D6C88"/>
    <w:rsid w:val="008D6F83"/>
    <w:rsid w:val="008D6FB9"/>
    <w:rsid w:val="008D7045"/>
    <w:rsid w:val="008E02A9"/>
    <w:rsid w:val="008E10E2"/>
    <w:rsid w:val="008E1E4F"/>
    <w:rsid w:val="008E1F23"/>
    <w:rsid w:val="008E2581"/>
    <w:rsid w:val="008E2582"/>
    <w:rsid w:val="008E26FD"/>
    <w:rsid w:val="008E2B81"/>
    <w:rsid w:val="008E2CE7"/>
    <w:rsid w:val="008E33C4"/>
    <w:rsid w:val="008E347C"/>
    <w:rsid w:val="008E3502"/>
    <w:rsid w:val="008E3ADD"/>
    <w:rsid w:val="008E3F55"/>
    <w:rsid w:val="008E4B49"/>
    <w:rsid w:val="008E62DC"/>
    <w:rsid w:val="008E6347"/>
    <w:rsid w:val="008E7550"/>
    <w:rsid w:val="008E7A91"/>
    <w:rsid w:val="008E7BCA"/>
    <w:rsid w:val="008E7CAE"/>
    <w:rsid w:val="008F0396"/>
    <w:rsid w:val="008F0475"/>
    <w:rsid w:val="008F069C"/>
    <w:rsid w:val="008F1191"/>
    <w:rsid w:val="008F1334"/>
    <w:rsid w:val="008F1952"/>
    <w:rsid w:val="008F2005"/>
    <w:rsid w:val="008F273E"/>
    <w:rsid w:val="008F283C"/>
    <w:rsid w:val="008F2FA6"/>
    <w:rsid w:val="008F309B"/>
    <w:rsid w:val="008F3316"/>
    <w:rsid w:val="008F331B"/>
    <w:rsid w:val="008F3322"/>
    <w:rsid w:val="008F3F88"/>
    <w:rsid w:val="008F400D"/>
    <w:rsid w:val="008F437A"/>
    <w:rsid w:val="008F4598"/>
    <w:rsid w:val="008F48F5"/>
    <w:rsid w:val="008F4D11"/>
    <w:rsid w:val="008F4F90"/>
    <w:rsid w:val="008F52E0"/>
    <w:rsid w:val="008F57AE"/>
    <w:rsid w:val="008F5AFC"/>
    <w:rsid w:val="008F6141"/>
    <w:rsid w:val="008F6417"/>
    <w:rsid w:val="008F6566"/>
    <w:rsid w:val="008F6736"/>
    <w:rsid w:val="008F6BF6"/>
    <w:rsid w:val="008F6EAC"/>
    <w:rsid w:val="008F6F34"/>
    <w:rsid w:val="008F71E1"/>
    <w:rsid w:val="0090033C"/>
    <w:rsid w:val="00900DDD"/>
    <w:rsid w:val="00900FE9"/>
    <w:rsid w:val="0090108D"/>
    <w:rsid w:val="00901222"/>
    <w:rsid w:val="009012D8"/>
    <w:rsid w:val="00901602"/>
    <w:rsid w:val="00901C44"/>
    <w:rsid w:val="009022D2"/>
    <w:rsid w:val="00902E77"/>
    <w:rsid w:val="00902EC1"/>
    <w:rsid w:val="00902EEC"/>
    <w:rsid w:val="00903E86"/>
    <w:rsid w:val="0090411A"/>
    <w:rsid w:val="00904221"/>
    <w:rsid w:val="009044F0"/>
    <w:rsid w:val="0090454F"/>
    <w:rsid w:val="00904D03"/>
    <w:rsid w:val="00904E25"/>
    <w:rsid w:val="00905466"/>
    <w:rsid w:val="00905959"/>
    <w:rsid w:val="00905B78"/>
    <w:rsid w:val="009061D0"/>
    <w:rsid w:val="0090639B"/>
    <w:rsid w:val="0090682F"/>
    <w:rsid w:val="009076CD"/>
    <w:rsid w:val="0090793F"/>
    <w:rsid w:val="00907C61"/>
    <w:rsid w:val="00907F1E"/>
    <w:rsid w:val="00907F86"/>
    <w:rsid w:val="0091027E"/>
    <w:rsid w:val="00910D08"/>
    <w:rsid w:val="009112A3"/>
    <w:rsid w:val="00911623"/>
    <w:rsid w:val="0091190D"/>
    <w:rsid w:val="00911CF4"/>
    <w:rsid w:val="00911DE2"/>
    <w:rsid w:val="00911E85"/>
    <w:rsid w:val="0091327C"/>
    <w:rsid w:val="00913679"/>
    <w:rsid w:val="0091369A"/>
    <w:rsid w:val="00913789"/>
    <w:rsid w:val="00913E0D"/>
    <w:rsid w:val="00913F92"/>
    <w:rsid w:val="0091567E"/>
    <w:rsid w:val="009157A4"/>
    <w:rsid w:val="00915C8E"/>
    <w:rsid w:val="00916A23"/>
    <w:rsid w:val="009170AF"/>
    <w:rsid w:val="0091724E"/>
    <w:rsid w:val="009173D2"/>
    <w:rsid w:val="0091787A"/>
    <w:rsid w:val="00917886"/>
    <w:rsid w:val="00920918"/>
    <w:rsid w:val="009212A5"/>
    <w:rsid w:val="0092140F"/>
    <w:rsid w:val="009217B6"/>
    <w:rsid w:val="00921B65"/>
    <w:rsid w:val="00921C7B"/>
    <w:rsid w:val="0092207F"/>
    <w:rsid w:val="009224FA"/>
    <w:rsid w:val="0092278F"/>
    <w:rsid w:val="00922E0B"/>
    <w:rsid w:val="0092327D"/>
    <w:rsid w:val="0092331E"/>
    <w:rsid w:val="009236BE"/>
    <w:rsid w:val="00923924"/>
    <w:rsid w:val="00923D09"/>
    <w:rsid w:val="00923D7C"/>
    <w:rsid w:val="00923F10"/>
    <w:rsid w:val="00924B7B"/>
    <w:rsid w:val="00924C50"/>
    <w:rsid w:val="00925136"/>
    <w:rsid w:val="00925BDB"/>
    <w:rsid w:val="00925CDA"/>
    <w:rsid w:val="00926522"/>
    <w:rsid w:val="009273E2"/>
    <w:rsid w:val="009277C4"/>
    <w:rsid w:val="00927BEA"/>
    <w:rsid w:val="00927D7F"/>
    <w:rsid w:val="009309EF"/>
    <w:rsid w:val="00930FF4"/>
    <w:rsid w:val="00931686"/>
    <w:rsid w:val="00931B62"/>
    <w:rsid w:val="00932155"/>
    <w:rsid w:val="00932166"/>
    <w:rsid w:val="009323AE"/>
    <w:rsid w:val="00932873"/>
    <w:rsid w:val="00932884"/>
    <w:rsid w:val="009328FF"/>
    <w:rsid w:val="00932A79"/>
    <w:rsid w:val="00933107"/>
    <w:rsid w:val="00933955"/>
    <w:rsid w:val="00933ADE"/>
    <w:rsid w:val="00933C2A"/>
    <w:rsid w:val="00934050"/>
    <w:rsid w:val="0093410B"/>
    <w:rsid w:val="00934796"/>
    <w:rsid w:val="00934DE4"/>
    <w:rsid w:val="0093554D"/>
    <w:rsid w:val="00935585"/>
    <w:rsid w:val="00935610"/>
    <w:rsid w:val="00935C73"/>
    <w:rsid w:val="009360A5"/>
    <w:rsid w:val="00936113"/>
    <w:rsid w:val="00936A2B"/>
    <w:rsid w:val="00936A92"/>
    <w:rsid w:val="0093795E"/>
    <w:rsid w:val="0094018C"/>
    <w:rsid w:val="00940443"/>
    <w:rsid w:val="0094086C"/>
    <w:rsid w:val="00940C6A"/>
    <w:rsid w:val="00940DAB"/>
    <w:rsid w:val="00940FB2"/>
    <w:rsid w:val="009416A7"/>
    <w:rsid w:val="009421A4"/>
    <w:rsid w:val="009422D5"/>
    <w:rsid w:val="009429D8"/>
    <w:rsid w:val="00942B4A"/>
    <w:rsid w:val="00942BC1"/>
    <w:rsid w:val="009433D5"/>
    <w:rsid w:val="009433F1"/>
    <w:rsid w:val="0094361E"/>
    <w:rsid w:val="00943BAC"/>
    <w:rsid w:val="00943DCB"/>
    <w:rsid w:val="009440B8"/>
    <w:rsid w:val="00944684"/>
    <w:rsid w:val="00944E5D"/>
    <w:rsid w:val="00945760"/>
    <w:rsid w:val="00946804"/>
    <w:rsid w:val="00946C26"/>
    <w:rsid w:val="00946D3B"/>
    <w:rsid w:val="0094729C"/>
    <w:rsid w:val="0094755E"/>
    <w:rsid w:val="009508E4"/>
    <w:rsid w:val="00950A6B"/>
    <w:rsid w:val="009511C0"/>
    <w:rsid w:val="009522E2"/>
    <w:rsid w:val="009528E4"/>
    <w:rsid w:val="00952999"/>
    <w:rsid w:val="00952D3C"/>
    <w:rsid w:val="00952DF6"/>
    <w:rsid w:val="00953151"/>
    <w:rsid w:val="009532A2"/>
    <w:rsid w:val="009534DD"/>
    <w:rsid w:val="00953540"/>
    <w:rsid w:val="009539D3"/>
    <w:rsid w:val="00953A5B"/>
    <w:rsid w:val="00954159"/>
    <w:rsid w:val="00954522"/>
    <w:rsid w:val="00954558"/>
    <w:rsid w:val="00955F01"/>
    <w:rsid w:val="00957B0B"/>
    <w:rsid w:val="00957B91"/>
    <w:rsid w:val="00957D33"/>
    <w:rsid w:val="00957D75"/>
    <w:rsid w:val="00960781"/>
    <w:rsid w:val="0096095E"/>
    <w:rsid w:val="00960A47"/>
    <w:rsid w:val="00960D99"/>
    <w:rsid w:val="00960E3B"/>
    <w:rsid w:val="00961BFE"/>
    <w:rsid w:val="00961EE0"/>
    <w:rsid w:val="00962614"/>
    <w:rsid w:val="009628BC"/>
    <w:rsid w:val="009629F1"/>
    <w:rsid w:val="00962BF2"/>
    <w:rsid w:val="00962CBD"/>
    <w:rsid w:val="00962F1E"/>
    <w:rsid w:val="00963106"/>
    <w:rsid w:val="00963B6B"/>
    <w:rsid w:val="00965C57"/>
    <w:rsid w:val="009660CA"/>
    <w:rsid w:val="009661EC"/>
    <w:rsid w:val="00966202"/>
    <w:rsid w:val="009662E2"/>
    <w:rsid w:val="00966626"/>
    <w:rsid w:val="00966CEF"/>
    <w:rsid w:val="00967125"/>
    <w:rsid w:val="009672AD"/>
    <w:rsid w:val="009672BA"/>
    <w:rsid w:val="009677AC"/>
    <w:rsid w:val="00967B3A"/>
    <w:rsid w:val="00967F11"/>
    <w:rsid w:val="009702FA"/>
    <w:rsid w:val="009707C3"/>
    <w:rsid w:val="00970E0B"/>
    <w:rsid w:val="009717F6"/>
    <w:rsid w:val="0097195D"/>
    <w:rsid w:val="00971A4A"/>
    <w:rsid w:val="009720B6"/>
    <w:rsid w:val="00972BD6"/>
    <w:rsid w:val="009731EF"/>
    <w:rsid w:val="00974CAC"/>
    <w:rsid w:val="00974E7F"/>
    <w:rsid w:val="00975E1F"/>
    <w:rsid w:val="00975F06"/>
    <w:rsid w:val="0097618B"/>
    <w:rsid w:val="00976246"/>
    <w:rsid w:val="00976855"/>
    <w:rsid w:val="009803C1"/>
    <w:rsid w:val="009808B2"/>
    <w:rsid w:val="009812FD"/>
    <w:rsid w:val="009813FA"/>
    <w:rsid w:val="0098166C"/>
    <w:rsid w:val="00981B0B"/>
    <w:rsid w:val="00982A48"/>
    <w:rsid w:val="00983321"/>
    <w:rsid w:val="00983A70"/>
    <w:rsid w:val="00983C4A"/>
    <w:rsid w:val="009840A5"/>
    <w:rsid w:val="0098414F"/>
    <w:rsid w:val="00984194"/>
    <w:rsid w:val="00984359"/>
    <w:rsid w:val="00984F91"/>
    <w:rsid w:val="00985423"/>
    <w:rsid w:val="00985A5D"/>
    <w:rsid w:val="00986026"/>
    <w:rsid w:val="00986450"/>
    <w:rsid w:val="009865FE"/>
    <w:rsid w:val="009868EE"/>
    <w:rsid w:val="00987353"/>
    <w:rsid w:val="00987917"/>
    <w:rsid w:val="009879B7"/>
    <w:rsid w:val="00987D5B"/>
    <w:rsid w:val="009903DF"/>
    <w:rsid w:val="00990950"/>
    <w:rsid w:val="00990AD1"/>
    <w:rsid w:val="00990B72"/>
    <w:rsid w:val="00990E39"/>
    <w:rsid w:val="009928D7"/>
    <w:rsid w:val="00993841"/>
    <w:rsid w:val="00993BCF"/>
    <w:rsid w:val="00993FE8"/>
    <w:rsid w:val="00994570"/>
    <w:rsid w:val="0099468D"/>
    <w:rsid w:val="00994F24"/>
    <w:rsid w:val="00994FBB"/>
    <w:rsid w:val="009958E2"/>
    <w:rsid w:val="00995DDE"/>
    <w:rsid w:val="00995DFE"/>
    <w:rsid w:val="00997225"/>
    <w:rsid w:val="00997887"/>
    <w:rsid w:val="0099788F"/>
    <w:rsid w:val="009979E3"/>
    <w:rsid w:val="00997B19"/>
    <w:rsid w:val="00997DDC"/>
    <w:rsid w:val="009A00DE"/>
    <w:rsid w:val="009A041F"/>
    <w:rsid w:val="009A07BD"/>
    <w:rsid w:val="009A0880"/>
    <w:rsid w:val="009A0F94"/>
    <w:rsid w:val="009A1BF5"/>
    <w:rsid w:val="009A21A9"/>
    <w:rsid w:val="009A23F6"/>
    <w:rsid w:val="009A245A"/>
    <w:rsid w:val="009A277C"/>
    <w:rsid w:val="009A292C"/>
    <w:rsid w:val="009A3170"/>
    <w:rsid w:val="009A35DF"/>
    <w:rsid w:val="009A3963"/>
    <w:rsid w:val="009A3F83"/>
    <w:rsid w:val="009A4918"/>
    <w:rsid w:val="009A50AD"/>
    <w:rsid w:val="009A52C4"/>
    <w:rsid w:val="009A5439"/>
    <w:rsid w:val="009A613C"/>
    <w:rsid w:val="009A6C39"/>
    <w:rsid w:val="009A78F4"/>
    <w:rsid w:val="009B12A1"/>
    <w:rsid w:val="009B1449"/>
    <w:rsid w:val="009B1606"/>
    <w:rsid w:val="009B1726"/>
    <w:rsid w:val="009B194D"/>
    <w:rsid w:val="009B3132"/>
    <w:rsid w:val="009B3415"/>
    <w:rsid w:val="009B3755"/>
    <w:rsid w:val="009B3A67"/>
    <w:rsid w:val="009B3D55"/>
    <w:rsid w:val="009B3F93"/>
    <w:rsid w:val="009B40C0"/>
    <w:rsid w:val="009B4918"/>
    <w:rsid w:val="009B56AE"/>
    <w:rsid w:val="009B5719"/>
    <w:rsid w:val="009B582A"/>
    <w:rsid w:val="009B5CF6"/>
    <w:rsid w:val="009B647F"/>
    <w:rsid w:val="009B6915"/>
    <w:rsid w:val="009B6AD4"/>
    <w:rsid w:val="009B7442"/>
    <w:rsid w:val="009B77A0"/>
    <w:rsid w:val="009C0303"/>
    <w:rsid w:val="009C0CC5"/>
    <w:rsid w:val="009C1319"/>
    <w:rsid w:val="009C1FD3"/>
    <w:rsid w:val="009C1FE5"/>
    <w:rsid w:val="009C26BC"/>
    <w:rsid w:val="009C27DA"/>
    <w:rsid w:val="009C2A1E"/>
    <w:rsid w:val="009C2CC4"/>
    <w:rsid w:val="009C3358"/>
    <w:rsid w:val="009C3AB2"/>
    <w:rsid w:val="009C3C8F"/>
    <w:rsid w:val="009C3CC3"/>
    <w:rsid w:val="009C3DBB"/>
    <w:rsid w:val="009C416D"/>
    <w:rsid w:val="009C45AA"/>
    <w:rsid w:val="009C486C"/>
    <w:rsid w:val="009C4BD9"/>
    <w:rsid w:val="009C557B"/>
    <w:rsid w:val="009C5795"/>
    <w:rsid w:val="009C59D7"/>
    <w:rsid w:val="009C5C38"/>
    <w:rsid w:val="009C636E"/>
    <w:rsid w:val="009C6AEA"/>
    <w:rsid w:val="009C74E2"/>
    <w:rsid w:val="009C78D1"/>
    <w:rsid w:val="009D0005"/>
    <w:rsid w:val="009D08F1"/>
    <w:rsid w:val="009D0C72"/>
    <w:rsid w:val="009D0D79"/>
    <w:rsid w:val="009D1215"/>
    <w:rsid w:val="009D18AC"/>
    <w:rsid w:val="009D1AD2"/>
    <w:rsid w:val="009D2992"/>
    <w:rsid w:val="009D2AB4"/>
    <w:rsid w:val="009D2AC9"/>
    <w:rsid w:val="009D2DE4"/>
    <w:rsid w:val="009D3321"/>
    <w:rsid w:val="009D3AAA"/>
    <w:rsid w:val="009D3CDD"/>
    <w:rsid w:val="009D3DDB"/>
    <w:rsid w:val="009D3E33"/>
    <w:rsid w:val="009D3EC3"/>
    <w:rsid w:val="009D4BA1"/>
    <w:rsid w:val="009D4C9C"/>
    <w:rsid w:val="009D5706"/>
    <w:rsid w:val="009D5AC0"/>
    <w:rsid w:val="009D5BD6"/>
    <w:rsid w:val="009D5CBD"/>
    <w:rsid w:val="009D647D"/>
    <w:rsid w:val="009D65D4"/>
    <w:rsid w:val="009D6673"/>
    <w:rsid w:val="009D7074"/>
    <w:rsid w:val="009D70C5"/>
    <w:rsid w:val="009D7125"/>
    <w:rsid w:val="009D7701"/>
    <w:rsid w:val="009D7DE9"/>
    <w:rsid w:val="009E004A"/>
    <w:rsid w:val="009E012E"/>
    <w:rsid w:val="009E0573"/>
    <w:rsid w:val="009E0792"/>
    <w:rsid w:val="009E085D"/>
    <w:rsid w:val="009E0F3E"/>
    <w:rsid w:val="009E1609"/>
    <w:rsid w:val="009E17E3"/>
    <w:rsid w:val="009E1B3A"/>
    <w:rsid w:val="009E1FAF"/>
    <w:rsid w:val="009E22C5"/>
    <w:rsid w:val="009E2B20"/>
    <w:rsid w:val="009E3C7F"/>
    <w:rsid w:val="009E4134"/>
    <w:rsid w:val="009E4513"/>
    <w:rsid w:val="009E47DC"/>
    <w:rsid w:val="009E4A74"/>
    <w:rsid w:val="009E4DA3"/>
    <w:rsid w:val="009E4DF6"/>
    <w:rsid w:val="009E4FF0"/>
    <w:rsid w:val="009E585E"/>
    <w:rsid w:val="009E5FC9"/>
    <w:rsid w:val="009E636B"/>
    <w:rsid w:val="009E6421"/>
    <w:rsid w:val="009E6574"/>
    <w:rsid w:val="009E6624"/>
    <w:rsid w:val="009E683E"/>
    <w:rsid w:val="009E6F77"/>
    <w:rsid w:val="009E7025"/>
    <w:rsid w:val="009E73B3"/>
    <w:rsid w:val="009E753C"/>
    <w:rsid w:val="009F0920"/>
    <w:rsid w:val="009F0941"/>
    <w:rsid w:val="009F1286"/>
    <w:rsid w:val="009F12A3"/>
    <w:rsid w:val="009F169A"/>
    <w:rsid w:val="009F18D9"/>
    <w:rsid w:val="009F2E97"/>
    <w:rsid w:val="009F390A"/>
    <w:rsid w:val="009F397A"/>
    <w:rsid w:val="009F3B8B"/>
    <w:rsid w:val="009F4458"/>
    <w:rsid w:val="009F4A7E"/>
    <w:rsid w:val="009F5C7B"/>
    <w:rsid w:val="009F5C9A"/>
    <w:rsid w:val="009F5D8D"/>
    <w:rsid w:val="009F6333"/>
    <w:rsid w:val="009F657F"/>
    <w:rsid w:val="009F7307"/>
    <w:rsid w:val="009F75FB"/>
    <w:rsid w:val="009F7745"/>
    <w:rsid w:val="009F77F5"/>
    <w:rsid w:val="009F7893"/>
    <w:rsid w:val="00A00003"/>
    <w:rsid w:val="00A0035B"/>
    <w:rsid w:val="00A00E24"/>
    <w:rsid w:val="00A00E7A"/>
    <w:rsid w:val="00A00FD9"/>
    <w:rsid w:val="00A00FDA"/>
    <w:rsid w:val="00A0126F"/>
    <w:rsid w:val="00A0138A"/>
    <w:rsid w:val="00A014E8"/>
    <w:rsid w:val="00A01530"/>
    <w:rsid w:val="00A01B16"/>
    <w:rsid w:val="00A02336"/>
    <w:rsid w:val="00A02A05"/>
    <w:rsid w:val="00A02C0E"/>
    <w:rsid w:val="00A02CB1"/>
    <w:rsid w:val="00A02E9F"/>
    <w:rsid w:val="00A03398"/>
    <w:rsid w:val="00A03F71"/>
    <w:rsid w:val="00A04440"/>
    <w:rsid w:val="00A0450D"/>
    <w:rsid w:val="00A046A6"/>
    <w:rsid w:val="00A049E0"/>
    <w:rsid w:val="00A0625E"/>
    <w:rsid w:val="00A069A3"/>
    <w:rsid w:val="00A06EE7"/>
    <w:rsid w:val="00A06F36"/>
    <w:rsid w:val="00A0739A"/>
    <w:rsid w:val="00A073CB"/>
    <w:rsid w:val="00A1018D"/>
    <w:rsid w:val="00A116C5"/>
    <w:rsid w:val="00A118AE"/>
    <w:rsid w:val="00A12055"/>
    <w:rsid w:val="00A125E1"/>
    <w:rsid w:val="00A1318F"/>
    <w:rsid w:val="00A131F1"/>
    <w:rsid w:val="00A13365"/>
    <w:rsid w:val="00A1372B"/>
    <w:rsid w:val="00A13B34"/>
    <w:rsid w:val="00A143A6"/>
    <w:rsid w:val="00A1475D"/>
    <w:rsid w:val="00A14F4C"/>
    <w:rsid w:val="00A15B61"/>
    <w:rsid w:val="00A1614F"/>
    <w:rsid w:val="00A168F3"/>
    <w:rsid w:val="00A16E33"/>
    <w:rsid w:val="00A17450"/>
    <w:rsid w:val="00A2037C"/>
    <w:rsid w:val="00A205F1"/>
    <w:rsid w:val="00A2062C"/>
    <w:rsid w:val="00A20A13"/>
    <w:rsid w:val="00A20B87"/>
    <w:rsid w:val="00A21067"/>
    <w:rsid w:val="00A222C3"/>
    <w:rsid w:val="00A2273A"/>
    <w:rsid w:val="00A23700"/>
    <w:rsid w:val="00A2380A"/>
    <w:rsid w:val="00A238D1"/>
    <w:rsid w:val="00A23C01"/>
    <w:rsid w:val="00A23F1B"/>
    <w:rsid w:val="00A2407B"/>
    <w:rsid w:val="00A240D7"/>
    <w:rsid w:val="00A2411D"/>
    <w:rsid w:val="00A2427E"/>
    <w:rsid w:val="00A2445F"/>
    <w:rsid w:val="00A244D0"/>
    <w:rsid w:val="00A2541E"/>
    <w:rsid w:val="00A25709"/>
    <w:rsid w:val="00A2573F"/>
    <w:rsid w:val="00A257A9"/>
    <w:rsid w:val="00A25965"/>
    <w:rsid w:val="00A259C2"/>
    <w:rsid w:val="00A2617C"/>
    <w:rsid w:val="00A26565"/>
    <w:rsid w:val="00A26E87"/>
    <w:rsid w:val="00A26FEA"/>
    <w:rsid w:val="00A27B90"/>
    <w:rsid w:val="00A27C90"/>
    <w:rsid w:val="00A30981"/>
    <w:rsid w:val="00A30B3E"/>
    <w:rsid w:val="00A31090"/>
    <w:rsid w:val="00A31A32"/>
    <w:rsid w:val="00A31A71"/>
    <w:rsid w:val="00A31C03"/>
    <w:rsid w:val="00A31CFF"/>
    <w:rsid w:val="00A31EC3"/>
    <w:rsid w:val="00A31F32"/>
    <w:rsid w:val="00A32482"/>
    <w:rsid w:val="00A32F9F"/>
    <w:rsid w:val="00A33C7B"/>
    <w:rsid w:val="00A33CB7"/>
    <w:rsid w:val="00A34099"/>
    <w:rsid w:val="00A34BC6"/>
    <w:rsid w:val="00A350BC"/>
    <w:rsid w:val="00A350E9"/>
    <w:rsid w:val="00A35205"/>
    <w:rsid w:val="00A35722"/>
    <w:rsid w:val="00A357D7"/>
    <w:rsid w:val="00A35919"/>
    <w:rsid w:val="00A35FEE"/>
    <w:rsid w:val="00A366D0"/>
    <w:rsid w:val="00A3724E"/>
    <w:rsid w:val="00A37B05"/>
    <w:rsid w:val="00A400D0"/>
    <w:rsid w:val="00A407AA"/>
    <w:rsid w:val="00A40B70"/>
    <w:rsid w:val="00A40BF5"/>
    <w:rsid w:val="00A412A8"/>
    <w:rsid w:val="00A413CE"/>
    <w:rsid w:val="00A4183B"/>
    <w:rsid w:val="00A41FA7"/>
    <w:rsid w:val="00A4251D"/>
    <w:rsid w:val="00A425D3"/>
    <w:rsid w:val="00A425FB"/>
    <w:rsid w:val="00A42B6F"/>
    <w:rsid w:val="00A4346D"/>
    <w:rsid w:val="00A43AE5"/>
    <w:rsid w:val="00A44482"/>
    <w:rsid w:val="00A44D29"/>
    <w:rsid w:val="00A45772"/>
    <w:rsid w:val="00A45AC4"/>
    <w:rsid w:val="00A45D45"/>
    <w:rsid w:val="00A45D48"/>
    <w:rsid w:val="00A45EAA"/>
    <w:rsid w:val="00A46360"/>
    <w:rsid w:val="00A464EE"/>
    <w:rsid w:val="00A46C94"/>
    <w:rsid w:val="00A46FC7"/>
    <w:rsid w:val="00A470CD"/>
    <w:rsid w:val="00A50241"/>
    <w:rsid w:val="00A50A2A"/>
    <w:rsid w:val="00A514F0"/>
    <w:rsid w:val="00A51AA2"/>
    <w:rsid w:val="00A52A08"/>
    <w:rsid w:val="00A52F54"/>
    <w:rsid w:val="00A52F90"/>
    <w:rsid w:val="00A543B9"/>
    <w:rsid w:val="00A54692"/>
    <w:rsid w:val="00A54CEF"/>
    <w:rsid w:val="00A54F12"/>
    <w:rsid w:val="00A55694"/>
    <w:rsid w:val="00A5624E"/>
    <w:rsid w:val="00A563A9"/>
    <w:rsid w:val="00A56BD8"/>
    <w:rsid w:val="00A56E36"/>
    <w:rsid w:val="00A57DF0"/>
    <w:rsid w:val="00A57E66"/>
    <w:rsid w:val="00A601C1"/>
    <w:rsid w:val="00A603C5"/>
    <w:rsid w:val="00A604D5"/>
    <w:rsid w:val="00A614C2"/>
    <w:rsid w:val="00A6178B"/>
    <w:rsid w:val="00A6199D"/>
    <w:rsid w:val="00A624B6"/>
    <w:rsid w:val="00A62940"/>
    <w:rsid w:val="00A62AD6"/>
    <w:rsid w:val="00A6350E"/>
    <w:rsid w:val="00A63A24"/>
    <w:rsid w:val="00A63FD4"/>
    <w:rsid w:val="00A64543"/>
    <w:rsid w:val="00A64832"/>
    <w:rsid w:val="00A64BF8"/>
    <w:rsid w:val="00A64FC5"/>
    <w:rsid w:val="00A656C6"/>
    <w:rsid w:val="00A6576A"/>
    <w:rsid w:val="00A65AC5"/>
    <w:rsid w:val="00A65D11"/>
    <w:rsid w:val="00A65E52"/>
    <w:rsid w:val="00A660E8"/>
    <w:rsid w:val="00A664CC"/>
    <w:rsid w:val="00A66B62"/>
    <w:rsid w:val="00A66E39"/>
    <w:rsid w:val="00A670E3"/>
    <w:rsid w:val="00A6717E"/>
    <w:rsid w:val="00A676A7"/>
    <w:rsid w:val="00A70517"/>
    <w:rsid w:val="00A70BC2"/>
    <w:rsid w:val="00A724A0"/>
    <w:rsid w:val="00A72B74"/>
    <w:rsid w:val="00A72F23"/>
    <w:rsid w:val="00A73372"/>
    <w:rsid w:val="00A73450"/>
    <w:rsid w:val="00A736F2"/>
    <w:rsid w:val="00A73C69"/>
    <w:rsid w:val="00A74368"/>
    <w:rsid w:val="00A744DD"/>
    <w:rsid w:val="00A746C0"/>
    <w:rsid w:val="00A759D9"/>
    <w:rsid w:val="00A75AC1"/>
    <w:rsid w:val="00A75B8D"/>
    <w:rsid w:val="00A75DB7"/>
    <w:rsid w:val="00A76628"/>
    <w:rsid w:val="00A76AFC"/>
    <w:rsid w:val="00A775AD"/>
    <w:rsid w:val="00A8080F"/>
    <w:rsid w:val="00A80816"/>
    <w:rsid w:val="00A80D0A"/>
    <w:rsid w:val="00A80E39"/>
    <w:rsid w:val="00A816D0"/>
    <w:rsid w:val="00A81968"/>
    <w:rsid w:val="00A81D1F"/>
    <w:rsid w:val="00A81E00"/>
    <w:rsid w:val="00A82055"/>
    <w:rsid w:val="00A8262F"/>
    <w:rsid w:val="00A83124"/>
    <w:rsid w:val="00A837F0"/>
    <w:rsid w:val="00A8410A"/>
    <w:rsid w:val="00A84156"/>
    <w:rsid w:val="00A8421E"/>
    <w:rsid w:val="00A843ED"/>
    <w:rsid w:val="00A84845"/>
    <w:rsid w:val="00A850B7"/>
    <w:rsid w:val="00A852A5"/>
    <w:rsid w:val="00A864E9"/>
    <w:rsid w:val="00A87771"/>
    <w:rsid w:val="00A87B72"/>
    <w:rsid w:val="00A87DE1"/>
    <w:rsid w:val="00A905DD"/>
    <w:rsid w:val="00A911D3"/>
    <w:rsid w:val="00A912CE"/>
    <w:rsid w:val="00A9181D"/>
    <w:rsid w:val="00A918AE"/>
    <w:rsid w:val="00A92030"/>
    <w:rsid w:val="00A923F6"/>
    <w:rsid w:val="00A9284E"/>
    <w:rsid w:val="00A92CCD"/>
    <w:rsid w:val="00A92E2C"/>
    <w:rsid w:val="00A93FDB"/>
    <w:rsid w:val="00A942C8"/>
    <w:rsid w:val="00A952DF"/>
    <w:rsid w:val="00A953E8"/>
    <w:rsid w:val="00A95591"/>
    <w:rsid w:val="00A957FE"/>
    <w:rsid w:val="00A96052"/>
    <w:rsid w:val="00A96DC4"/>
    <w:rsid w:val="00A97073"/>
    <w:rsid w:val="00A97464"/>
    <w:rsid w:val="00A97ADA"/>
    <w:rsid w:val="00A97DDA"/>
    <w:rsid w:val="00AA0147"/>
    <w:rsid w:val="00AA0572"/>
    <w:rsid w:val="00AA0945"/>
    <w:rsid w:val="00AA0E21"/>
    <w:rsid w:val="00AA1244"/>
    <w:rsid w:val="00AA125A"/>
    <w:rsid w:val="00AA2525"/>
    <w:rsid w:val="00AA29C1"/>
    <w:rsid w:val="00AA2F6E"/>
    <w:rsid w:val="00AA4194"/>
    <w:rsid w:val="00AA41D7"/>
    <w:rsid w:val="00AA41F5"/>
    <w:rsid w:val="00AA511C"/>
    <w:rsid w:val="00AA54E4"/>
    <w:rsid w:val="00AA5758"/>
    <w:rsid w:val="00AA5DEB"/>
    <w:rsid w:val="00AA5FB9"/>
    <w:rsid w:val="00AA6B1E"/>
    <w:rsid w:val="00AA6DE3"/>
    <w:rsid w:val="00AA6FE8"/>
    <w:rsid w:val="00AA76B4"/>
    <w:rsid w:val="00AA7742"/>
    <w:rsid w:val="00AA7961"/>
    <w:rsid w:val="00AA796E"/>
    <w:rsid w:val="00AA7B76"/>
    <w:rsid w:val="00AA7BC7"/>
    <w:rsid w:val="00AA7ECD"/>
    <w:rsid w:val="00AB06E4"/>
    <w:rsid w:val="00AB0EDF"/>
    <w:rsid w:val="00AB1128"/>
    <w:rsid w:val="00AB1E28"/>
    <w:rsid w:val="00AB233C"/>
    <w:rsid w:val="00AB2680"/>
    <w:rsid w:val="00AB2981"/>
    <w:rsid w:val="00AB4C08"/>
    <w:rsid w:val="00AB5506"/>
    <w:rsid w:val="00AB6638"/>
    <w:rsid w:val="00AB6892"/>
    <w:rsid w:val="00AB6E00"/>
    <w:rsid w:val="00AB7049"/>
    <w:rsid w:val="00AB7936"/>
    <w:rsid w:val="00AB7937"/>
    <w:rsid w:val="00AB7D6D"/>
    <w:rsid w:val="00AC004F"/>
    <w:rsid w:val="00AC007C"/>
    <w:rsid w:val="00AC0B80"/>
    <w:rsid w:val="00AC0D40"/>
    <w:rsid w:val="00AC1019"/>
    <w:rsid w:val="00AC11D7"/>
    <w:rsid w:val="00AC1399"/>
    <w:rsid w:val="00AC18F1"/>
    <w:rsid w:val="00AC1A87"/>
    <w:rsid w:val="00AC1B7D"/>
    <w:rsid w:val="00AC1C6F"/>
    <w:rsid w:val="00AC1C9D"/>
    <w:rsid w:val="00AC214F"/>
    <w:rsid w:val="00AC24C8"/>
    <w:rsid w:val="00AC2AA0"/>
    <w:rsid w:val="00AC3877"/>
    <w:rsid w:val="00AC38B3"/>
    <w:rsid w:val="00AC44E0"/>
    <w:rsid w:val="00AC4B6D"/>
    <w:rsid w:val="00AC4EBB"/>
    <w:rsid w:val="00AC52CF"/>
    <w:rsid w:val="00AC52EE"/>
    <w:rsid w:val="00AC573B"/>
    <w:rsid w:val="00AC5D01"/>
    <w:rsid w:val="00AC6967"/>
    <w:rsid w:val="00AC6DEF"/>
    <w:rsid w:val="00AC7241"/>
    <w:rsid w:val="00AC736D"/>
    <w:rsid w:val="00AC743C"/>
    <w:rsid w:val="00AC7682"/>
    <w:rsid w:val="00AC773E"/>
    <w:rsid w:val="00AC7BA9"/>
    <w:rsid w:val="00AC7DA9"/>
    <w:rsid w:val="00AC7FB0"/>
    <w:rsid w:val="00AD0206"/>
    <w:rsid w:val="00AD06E5"/>
    <w:rsid w:val="00AD07B3"/>
    <w:rsid w:val="00AD0982"/>
    <w:rsid w:val="00AD09B8"/>
    <w:rsid w:val="00AD1DC1"/>
    <w:rsid w:val="00AD1EA4"/>
    <w:rsid w:val="00AD2FA1"/>
    <w:rsid w:val="00AD2FDC"/>
    <w:rsid w:val="00AD3417"/>
    <w:rsid w:val="00AD34B0"/>
    <w:rsid w:val="00AD34B9"/>
    <w:rsid w:val="00AD3762"/>
    <w:rsid w:val="00AD3B75"/>
    <w:rsid w:val="00AD3CBA"/>
    <w:rsid w:val="00AD3CC6"/>
    <w:rsid w:val="00AD4190"/>
    <w:rsid w:val="00AD4DEC"/>
    <w:rsid w:val="00AD52E0"/>
    <w:rsid w:val="00AD6835"/>
    <w:rsid w:val="00AD6A05"/>
    <w:rsid w:val="00AD7E2B"/>
    <w:rsid w:val="00AD7F02"/>
    <w:rsid w:val="00AE02EE"/>
    <w:rsid w:val="00AE049D"/>
    <w:rsid w:val="00AE055D"/>
    <w:rsid w:val="00AE0BD9"/>
    <w:rsid w:val="00AE0CEF"/>
    <w:rsid w:val="00AE0F8C"/>
    <w:rsid w:val="00AE1255"/>
    <w:rsid w:val="00AE1918"/>
    <w:rsid w:val="00AE1BCE"/>
    <w:rsid w:val="00AE1F3D"/>
    <w:rsid w:val="00AE2321"/>
    <w:rsid w:val="00AE2566"/>
    <w:rsid w:val="00AE2D3D"/>
    <w:rsid w:val="00AE2FFE"/>
    <w:rsid w:val="00AE3074"/>
    <w:rsid w:val="00AE349D"/>
    <w:rsid w:val="00AE3AB1"/>
    <w:rsid w:val="00AE3D66"/>
    <w:rsid w:val="00AE453E"/>
    <w:rsid w:val="00AE4562"/>
    <w:rsid w:val="00AE458B"/>
    <w:rsid w:val="00AE4D89"/>
    <w:rsid w:val="00AE5767"/>
    <w:rsid w:val="00AE5D9C"/>
    <w:rsid w:val="00AE6157"/>
    <w:rsid w:val="00AE6807"/>
    <w:rsid w:val="00AE6B0C"/>
    <w:rsid w:val="00AE6C91"/>
    <w:rsid w:val="00AE6CF8"/>
    <w:rsid w:val="00AE6F35"/>
    <w:rsid w:val="00AE75F5"/>
    <w:rsid w:val="00AE76FA"/>
    <w:rsid w:val="00AE7DEF"/>
    <w:rsid w:val="00AE7E1E"/>
    <w:rsid w:val="00AF06E3"/>
    <w:rsid w:val="00AF154E"/>
    <w:rsid w:val="00AF16E3"/>
    <w:rsid w:val="00AF172C"/>
    <w:rsid w:val="00AF1D07"/>
    <w:rsid w:val="00AF1D8A"/>
    <w:rsid w:val="00AF1FA2"/>
    <w:rsid w:val="00AF2204"/>
    <w:rsid w:val="00AF3163"/>
    <w:rsid w:val="00AF3199"/>
    <w:rsid w:val="00AF3C07"/>
    <w:rsid w:val="00AF3F0F"/>
    <w:rsid w:val="00AF41DD"/>
    <w:rsid w:val="00AF44C2"/>
    <w:rsid w:val="00AF499B"/>
    <w:rsid w:val="00AF4B38"/>
    <w:rsid w:val="00AF4E48"/>
    <w:rsid w:val="00AF4FED"/>
    <w:rsid w:val="00AF538E"/>
    <w:rsid w:val="00AF5717"/>
    <w:rsid w:val="00AF618B"/>
    <w:rsid w:val="00AF66D4"/>
    <w:rsid w:val="00AF7349"/>
    <w:rsid w:val="00AF7364"/>
    <w:rsid w:val="00AF76B9"/>
    <w:rsid w:val="00AF790A"/>
    <w:rsid w:val="00AF7BB7"/>
    <w:rsid w:val="00B0012A"/>
    <w:rsid w:val="00B00479"/>
    <w:rsid w:val="00B01037"/>
    <w:rsid w:val="00B0169F"/>
    <w:rsid w:val="00B0211A"/>
    <w:rsid w:val="00B02280"/>
    <w:rsid w:val="00B02D45"/>
    <w:rsid w:val="00B03203"/>
    <w:rsid w:val="00B036CC"/>
    <w:rsid w:val="00B03948"/>
    <w:rsid w:val="00B04415"/>
    <w:rsid w:val="00B052D7"/>
    <w:rsid w:val="00B05521"/>
    <w:rsid w:val="00B057F0"/>
    <w:rsid w:val="00B059F6"/>
    <w:rsid w:val="00B0638F"/>
    <w:rsid w:val="00B06A90"/>
    <w:rsid w:val="00B06B2D"/>
    <w:rsid w:val="00B06EBF"/>
    <w:rsid w:val="00B06FBC"/>
    <w:rsid w:val="00B07421"/>
    <w:rsid w:val="00B075EB"/>
    <w:rsid w:val="00B0779D"/>
    <w:rsid w:val="00B07850"/>
    <w:rsid w:val="00B07DD3"/>
    <w:rsid w:val="00B10EDC"/>
    <w:rsid w:val="00B118AD"/>
    <w:rsid w:val="00B11AC6"/>
    <w:rsid w:val="00B11E32"/>
    <w:rsid w:val="00B1297C"/>
    <w:rsid w:val="00B12C66"/>
    <w:rsid w:val="00B12E96"/>
    <w:rsid w:val="00B133F2"/>
    <w:rsid w:val="00B143C8"/>
    <w:rsid w:val="00B147F3"/>
    <w:rsid w:val="00B14981"/>
    <w:rsid w:val="00B1500E"/>
    <w:rsid w:val="00B153E9"/>
    <w:rsid w:val="00B154AB"/>
    <w:rsid w:val="00B156CE"/>
    <w:rsid w:val="00B15CB4"/>
    <w:rsid w:val="00B15E30"/>
    <w:rsid w:val="00B15E74"/>
    <w:rsid w:val="00B16310"/>
    <w:rsid w:val="00B1715A"/>
    <w:rsid w:val="00B17945"/>
    <w:rsid w:val="00B20142"/>
    <w:rsid w:val="00B20344"/>
    <w:rsid w:val="00B20774"/>
    <w:rsid w:val="00B209E3"/>
    <w:rsid w:val="00B20B5C"/>
    <w:rsid w:val="00B21143"/>
    <w:rsid w:val="00B21320"/>
    <w:rsid w:val="00B218F8"/>
    <w:rsid w:val="00B21C75"/>
    <w:rsid w:val="00B22065"/>
    <w:rsid w:val="00B22108"/>
    <w:rsid w:val="00B2261D"/>
    <w:rsid w:val="00B2297B"/>
    <w:rsid w:val="00B2365A"/>
    <w:rsid w:val="00B23C0A"/>
    <w:rsid w:val="00B23F6E"/>
    <w:rsid w:val="00B24B9B"/>
    <w:rsid w:val="00B24C53"/>
    <w:rsid w:val="00B257DD"/>
    <w:rsid w:val="00B262C8"/>
    <w:rsid w:val="00B27273"/>
    <w:rsid w:val="00B27330"/>
    <w:rsid w:val="00B276CB"/>
    <w:rsid w:val="00B30151"/>
    <w:rsid w:val="00B30343"/>
    <w:rsid w:val="00B30953"/>
    <w:rsid w:val="00B3148F"/>
    <w:rsid w:val="00B31A63"/>
    <w:rsid w:val="00B31CE7"/>
    <w:rsid w:val="00B31DCA"/>
    <w:rsid w:val="00B3230A"/>
    <w:rsid w:val="00B3257C"/>
    <w:rsid w:val="00B3258C"/>
    <w:rsid w:val="00B32F4E"/>
    <w:rsid w:val="00B33491"/>
    <w:rsid w:val="00B33AC8"/>
    <w:rsid w:val="00B33F5F"/>
    <w:rsid w:val="00B33F7F"/>
    <w:rsid w:val="00B341F2"/>
    <w:rsid w:val="00B34D4F"/>
    <w:rsid w:val="00B360C0"/>
    <w:rsid w:val="00B3635C"/>
    <w:rsid w:val="00B368C8"/>
    <w:rsid w:val="00B370E2"/>
    <w:rsid w:val="00B37EAF"/>
    <w:rsid w:val="00B400DA"/>
    <w:rsid w:val="00B402AC"/>
    <w:rsid w:val="00B40F24"/>
    <w:rsid w:val="00B40F3C"/>
    <w:rsid w:val="00B41440"/>
    <w:rsid w:val="00B42403"/>
    <w:rsid w:val="00B43289"/>
    <w:rsid w:val="00B4404D"/>
    <w:rsid w:val="00B44272"/>
    <w:rsid w:val="00B44425"/>
    <w:rsid w:val="00B44854"/>
    <w:rsid w:val="00B462E4"/>
    <w:rsid w:val="00B46972"/>
    <w:rsid w:val="00B46A93"/>
    <w:rsid w:val="00B47526"/>
    <w:rsid w:val="00B47A64"/>
    <w:rsid w:val="00B47A94"/>
    <w:rsid w:val="00B47CF7"/>
    <w:rsid w:val="00B500AF"/>
    <w:rsid w:val="00B50174"/>
    <w:rsid w:val="00B505C1"/>
    <w:rsid w:val="00B50F12"/>
    <w:rsid w:val="00B51753"/>
    <w:rsid w:val="00B51D55"/>
    <w:rsid w:val="00B522D2"/>
    <w:rsid w:val="00B5273E"/>
    <w:rsid w:val="00B527E6"/>
    <w:rsid w:val="00B5280A"/>
    <w:rsid w:val="00B52818"/>
    <w:rsid w:val="00B53364"/>
    <w:rsid w:val="00B53387"/>
    <w:rsid w:val="00B53585"/>
    <w:rsid w:val="00B53B5C"/>
    <w:rsid w:val="00B54019"/>
    <w:rsid w:val="00B54079"/>
    <w:rsid w:val="00B54986"/>
    <w:rsid w:val="00B54B7F"/>
    <w:rsid w:val="00B5579E"/>
    <w:rsid w:val="00B55C1A"/>
    <w:rsid w:val="00B5666E"/>
    <w:rsid w:val="00B5673A"/>
    <w:rsid w:val="00B56867"/>
    <w:rsid w:val="00B56A69"/>
    <w:rsid w:val="00B570A0"/>
    <w:rsid w:val="00B574CE"/>
    <w:rsid w:val="00B57893"/>
    <w:rsid w:val="00B57DD4"/>
    <w:rsid w:val="00B57EFC"/>
    <w:rsid w:val="00B607B6"/>
    <w:rsid w:val="00B60B23"/>
    <w:rsid w:val="00B60BC3"/>
    <w:rsid w:val="00B615F6"/>
    <w:rsid w:val="00B61624"/>
    <w:rsid w:val="00B61BF4"/>
    <w:rsid w:val="00B61F6F"/>
    <w:rsid w:val="00B62044"/>
    <w:rsid w:val="00B622FD"/>
    <w:rsid w:val="00B62331"/>
    <w:rsid w:val="00B62449"/>
    <w:rsid w:val="00B6265A"/>
    <w:rsid w:val="00B63397"/>
    <w:rsid w:val="00B63EF7"/>
    <w:rsid w:val="00B63FD3"/>
    <w:rsid w:val="00B64B97"/>
    <w:rsid w:val="00B64FB7"/>
    <w:rsid w:val="00B65351"/>
    <w:rsid w:val="00B65769"/>
    <w:rsid w:val="00B65F9D"/>
    <w:rsid w:val="00B6643C"/>
    <w:rsid w:val="00B66912"/>
    <w:rsid w:val="00B67460"/>
    <w:rsid w:val="00B67718"/>
    <w:rsid w:val="00B67D5F"/>
    <w:rsid w:val="00B67E51"/>
    <w:rsid w:val="00B67ECD"/>
    <w:rsid w:val="00B7002F"/>
    <w:rsid w:val="00B70466"/>
    <w:rsid w:val="00B70993"/>
    <w:rsid w:val="00B7147C"/>
    <w:rsid w:val="00B71D5F"/>
    <w:rsid w:val="00B7210B"/>
    <w:rsid w:val="00B72178"/>
    <w:rsid w:val="00B727A7"/>
    <w:rsid w:val="00B72B15"/>
    <w:rsid w:val="00B72BCB"/>
    <w:rsid w:val="00B7492F"/>
    <w:rsid w:val="00B75288"/>
    <w:rsid w:val="00B75688"/>
    <w:rsid w:val="00B75986"/>
    <w:rsid w:val="00B75BA2"/>
    <w:rsid w:val="00B75D65"/>
    <w:rsid w:val="00B76353"/>
    <w:rsid w:val="00B76606"/>
    <w:rsid w:val="00B76ACB"/>
    <w:rsid w:val="00B7747C"/>
    <w:rsid w:val="00B77D64"/>
    <w:rsid w:val="00B80B91"/>
    <w:rsid w:val="00B80BCA"/>
    <w:rsid w:val="00B80D24"/>
    <w:rsid w:val="00B81606"/>
    <w:rsid w:val="00B81A89"/>
    <w:rsid w:val="00B81FC2"/>
    <w:rsid w:val="00B82697"/>
    <w:rsid w:val="00B8286A"/>
    <w:rsid w:val="00B82E43"/>
    <w:rsid w:val="00B82F1B"/>
    <w:rsid w:val="00B8321F"/>
    <w:rsid w:val="00B83454"/>
    <w:rsid w:val="00B83A5D"/>
    <w:rsid w:val="00B83DAE"/>
    <w:rsid w:val="00B849BA"/>
    <w:rsid w:val="00B84EA9"/>
    <w:rsid w:val="00B856F8"/>
    <w:rsid w:val="00B858DF"/>
    <w:rsid w:val="00B8606C"/>
    <w:rsid w:val="00B86099"/>
    <w:rsid w:val="00B8630A"/>
    <w:rsid w:val="00B86868"/>
    <w:rsid w:val="00B86BD8"/>
    <w:rsid w:val="00B8723E"/>
    <w:rsid w:val="00B8728A"/>
    <w:rsid w:val="00B87312"/>
    <w:rsid w:val="00B9067A"/>
    <w:rsid w:val="00B90F6A"/>
    <w:rsid w:val="00B91448"/>
    <w:rsid w:val="00B917CB"/>
    <w:rsid w:val="00B919C5"/>
    <w:rsid w:val="00B919EC"/>
    <w:rsid w:val="00B91D00"/>
    <w:rsid w:val="00B93449"/>
    <w:rsid w:val="00B93464"/>
    <w:rsid w:val="00B935EE"/>
    <w:rsid w:val="00B93717"/>
    <w:rsid w:val="00B93C96"/>
    <w:rsid w:val="00B93E36"/>
    <w:rsid w:val="00B941DC"/>
    <w:rsid w:val="00B94249"/>
    <w:rsid w:val="00B9500B"/>
    <w:rsid w:val="00B95017"/>
    <w:rsid w:val="00B958A7"/>
    <w:rsid w:val="00B95921"/>
    <w:rsid w:val="00B95FD8"/>
    <w:rsid w:val="00B96EAE"/>
    <w:rsid w:val="00B97741"/>
    <w:rsid w:val="00B978B2"/>
    <w:rsid w:val="00B97908"/>
    <w:rsid w:val="00B979AC"/>
    <w:rsid w:val="00B97B7F"/>
    <w:rsid w:val="00BA079B"/>
    <w:rsid w:val="00BA097E"/>
    <w:rsid w:val="00BA0C31"/>
    <w:rsid w:val="00BA0E27"/>
    <w:rsid w:val="00BA141D"/>
    <w:rsid w:val="00BA1A97"/>
    <w:rsid w:val="00BA273A"/>
    <w:rsid w:val="00BA273C"/>
    <w:rsid w:val="00BA3FC4"/>
    <w:rsid w:val="00BA4221"/>
    <w:rsid w:val="00BA43E7"/>
    <w:rsid w:val="00BA448E"/>
    <w:rsid w:val="00BA4F2E"/>
    <w:rsid w:val="00BA4FF1"/>
    <w:rsid w:val="00BA56AE"/>
    <w:rsid w:val="00BA56C3"/>
    <w:rsid w:val="00BA5B75"/>
    <w:rsid w:val="00BA5E40"/>
    <w:rsid w:val="00BA63B8"/>
    <w:rsid w:val="00BA6A84"/>
    <w:rsid w:val="00BA6E6A"/>
    <w:rsid w:val="00BA6ECC"/>
    <w:rsid w:val="00BA7812"/>
    <w:rsid w:val="00BA7D40"/>
    <w:rsid w:val="00BB0189"/>
    <w:rsid w:val="00BB0DE4"/>
    <w:rsid w:val="00BB1637"/>
    <w:rsid w:val="00BB1F49"/>
    <w:rsid w:val="00BB2DF9"/>
    <w:rsid w:val="00BB315A"/>
    <w:rsid w:val="00BB33CF"/>
    <w:rsid w:val="00BB4DD9"/>
    <w:rsid w:val="00BB4EE2"/>
    <w:rsid w:val="00BB544D"/>
    <w:rsid w:val="00BB575B"/>
    <w:rsid w:val="00BB5939"/>
    <w:rsid w:val="00BB5969"/>
    <w:rsid w:val="00BB5CE7"/>
    <w:rsid w:val="00BB65AE"/>
    <w:rsid w:val="00BB6B39"/>
    <w:rsid w:val="00BB72FB"/>
    <w:rsid w:val="00BC093D"/>
    <w:rsid w:val="00BC0D5A"/>
    <w:rsid w:val="00BC136D"/>
    <w:rsid w:val="00BC14AF"/>
    <w:rsid w:val="00BC1992"/>
    <w:rsid w:val="00BC1C07"/>
    <w:rsid w:val="00BC1C2E"/>
    <w:rsid w:val="00BC314A"/>
    <w:rsid w:val="00BC3B6F"/>
    <w:rsid w:val="00BC3C12"/>
    <w:rsid w:val="00BC46DB"/>
    <w:rsid w:val="00BC4849"/>
    <w:rsid w:val="00BC4D56"/>
    <w:rsid w:val="00BC4F61"/>
    <w:rsid w:val="00BC500D"/>
    <w:rsid w:val="00BC570A"/>
    <w:rsid w:val="00BC5D66"/>
    <w:rsid w:val="00BC5E9D"/>
    <w:rsid w:val="00BC5F67"/>
    <w:rsid w:val="00BC675E"/>
    <w:rsid w:val="00BC6A10"/>
    <w:rsid w:val="00BC6A1A"/>
    <w:rsid w:val="00BC6EA1"/>
    <w:rsid w:val="00BC7067"/>
    <w:rsid w:val="00BC7D7B"/>
    <w:rsid w:val="00BD0A2D"/>
    <w:rsid w:val="00BD0BC4"/>
    <w:rsid w:val="00BD1575"/>
    <w:rsid w:val="00BD161B"/>
    <w:rsid w:val="00BD16E2"/>
    <w:rsid w:val="00BD1A64"/>
    <w:rsid w:val="00BD30A9"/>
    <w:rsid w:val="00BD3FA0"/>
    <w:rsid w:val="00BD5B46"/>
    <w:rsid w:val="00BD6EE7"/>
    <w:rsid w:val="00BD700F"/>
    <w:rsid w:val="00BD75B4"/>
    <w:rsid w:val="00BD7D0E"/>
    <w:rsid w:val="00BD7D4E"/>
    <w:rsid w:val="00BE04E5"/>
    <w:rsid w:val="00BE0771"/>
    <w:rsid w:val="00BE077D"/>
    <w:rsid w:val="00BE1208"/>
    <w:rsid w:val="00BE1395"/>
    <w:rsid w:val="00BE1646"/>
    <w:rsid w:val="00BE1872"/>
    <w:rsid w:val="00BE28B0"/>
    <w:rsid w:val="00BE2ACF"/>
    <w:rsid w:val="00BE2C22"/>
    <w:rsid w:val="00BE324B"/>
    <w:rsid w:val="00BE376C"/>
    <w:rsid w:val="00BE37D8"/>
    <w:rsid w:val="00BE389D"/>
    <w:rsid w:val="00BE3CB4"/>
    <w:rsid w:val="00BE40F8"/>
    <w:rsid w:val="00BE45BD"/>
    <w:rsid w:val="00BE464C"/>
    <w:rsid w:val="00BE4CDC"/>
    <w:rsid w:val="00BE523B"/>
    <w:rsid w:val="00BE53EE"/>
    <w:rsid w:val="00BE5596"/>
    <w:rsid w:val="00BE561B"/>
    <w:rsid w:val="00BE59AD"/>
    <w:rsid w:val="00BE5C54"/>
    <w:rsid w:val="00BE5D2B"/>
    <w:rsid w:val="00BE5F2D"/>
    <w:rsid w:val="00BE5FE9"/>
    <w:rsid w:val="00BE6535"/>
    <w:rsid w:val="00BE6B23"/>
    <w:rsid w:val="00BE6B5D"/>
    <w:rsid w:val="00BE6D3C"/>
    <w:rsid w:val="00BE7169"/>
    <w:rsid w:val="00BE7263"/>
    <w:rsid w:val="00BE72A7"/>
    <w:rsid w:val="00BE7324"/>
    <w:rsid w:val="00BE73A5"/>
    <w:rsid w:val="00BF0FB0"/>
    <w:rsid w:val="00BF15CF"/>
    <w:rsid w:val="00BF2962"/>
    <w:rsid w:val="00BF29A2"/>
    <w:rsid w:val="00BF2CDF"/>
    <w:rsid w:val="00BF35CD"/>
    <w:rsid w:val="00BF3DAF"/>
    <w:rsid w:val="00BF4009"/>
    <w:rsid w:val="00BF46AC"/>
    <w:rsid w:val="00BF4AD8"/>
    <w:rsid w:val="00BF537C"/>
    <w:rsid w:val="00BF67F5"/>
    <w:rsid w:val="00BF6FD4"/>
    <w:rsid w:val="00C00296"/>
    <w:rsid w:val="00C006ED"/>
    <w:rsid w:val="00C0104E"/>
    <w:rsid w:val="00C016F7"/>
    <w:rsid w:val="00C01796"/>
    <w:rsid w:val="00C01972"/>
    <w:rsid w:val="00C01C14"/>
    <w:rsid w:val="00C01C8B"/>
    <w:rsid w:val="00C01FA7"/>
    <w:rsid w:val="00C02109"/>
    <w:rsid w:val="00C025F8"/>
    <w:rsid w:val="00C02D96"/>
    <w:rsid w:val="00C02F27"/>
    <w:rsid w:val="00C03277"/>
    <w:rsid w:val="00C0335C"/>
    <w:rsid w:val="00C03864"/>
    <w:rsid w:val="00C038D6"/>
    <w:rsid w:val="00C04904"/>
    <w:rsid w:val="00C04E6A"/>
    <w:rsid w:val="00C053A9"/>
    <w:rsid w:val="00C05B57"/>
    <w:rsid w:val="00C05D44"/>
    <w:rsid w:val="00C05FDA"/>
    <w:rsid w:val="00C0611F"/>
    <w:rsid w:val="00C063DD"/>
    <w:rsid w:val="00C064A7"/>
    <w:rsid w:val="00C06BAA"/>
    <w:rsid w:val="00C06D2C"/>
    <w:rsid w:val="00C0738C"/>
    <w:rsid w:val="00C073A5"/>
    <w:rsid w:val="00C078DE"/>
    <w:rsid w:val="00C10086"/>
    <w:rsid w:val="00C10316"/>
    <w:rsid w:val="00C10446"/>
    <w:rsid w:val="00C104D0"/>
    <w:rsid w:val="00C10C1B"/>
    <w:rsid w:val="00C11A39"/>
    <w:rsid w:val="00C11AFC"/>
    <w:rsid w:val="00C11B94"/>
    <w:rsid w:val="00C11F49"/>
    <w:rsid w:val="00C12559"/>
    <w:rsid w:val="00C12679"/>
    <w:rsid w:val="00C134D6"/>
    <w:rsid w:val="00C13DF7"/>
    <w:rsid w:val="00C147B6"/>
    <w:rsid w:val="00C14DD1"/>
    <w:rsid w:val="00C15C07"/>
    <w:rsid w:val="00C166F6"/>
    <w:rsid w:val="00C16870"/>
    <w:rsid w:val="00C16CDF"/>
    <w:rsid w:val="00C20265"/>
    <w:rsid w:val="00C20351"/>
    <w:rsid w:val="00C2047A"/>
    <w:rsid w:val="00C20CFD"/>
    <w:rsid w:val="00C20E5F"/>
    <w:rsid w:val="00C21059"/>
    <w:rsid w:val="00C2134A"/>
    <w:rsid w:val="00C22FA7"/>
    <w:rsid w:val="00C23580"/>
    <w:rsid w:val="00C23650"/>
    <w:rsid w:val="00C24144"/>
    <w:rsid w:val="00C2435D"/>
    <w:rsid w:val="00C24A4A"/>
    <w:rsid w:val="00C257BF"/>
    <w:rsid w:val="00C26414"/>
    <w:rsid w:val="00C26B30"/>
    <w:rsid w:val="00C26DAD"/>
    <w:rsid w:val="00C2779A"/>
    <w:rsid w:val="00C27F13"/>
    <w:rsid w:val="00C301C8"/>
    <w:rsid w:val="00C302F2"/>
    <w:rsid w:val="00C30704"/>
    <w:rsid w:val="00C30797"/>
    <w:rsid w:val="00C31295"/>
    <w:rsid w:val="00C31361"/>
    <w:rsid w:val="00C3139D"/>
    <w:rsid w:val="00C31448"/>
    <w:rsid w:val="00C31B15"/>
    <w:rsid w:val="00C31C15"/>
    <w:rsid w:val="00C31DE8"/>
    <w:rsid w:val="00C31F35"/>
    <w:rsid w:val="00C3218E"/>
    <w:rsid w:val="00C33331"/>
    <w:rsid w:val="00C33B9A"/>
    <w:rsid w:val="00C343A7"/>
    <w:rsid w:val="00C344FF"/>
    <w:rsid w:val="00C34728"/>
    <w:rsid w:val="00C3514F"/>
    <w:rsid w:val="00C35852"/>
    <w:rsid w:val="00C3615B"/>
    <w:rsid w:val="00C36344"/>
    <w:rsid w:val="00C365D4"/>
    <w:rsid w:val="00C365F8"/>
    <w:rsid w:val="00C36713"/>
    <w:rsid w:val="00C3687A"/>
    <w:rsid w:val="00C36B3B"/>
    <w:rsid w:val="00C36C82"/>
    <w:rsid w:val="00C403C5"/>
    <w:rsid w:val="00C40DFE"/>
    <w:rsid w:val="00C40EF6"/>
    <w:rsid w:val="00C413AC"/>
    <w:rsid w:val="00C41AEA"/>
    <w:rsid w:val="00C42480"/>
    <w:rsid w:val="00C4280E"/>
    <w:rsid w:val="00C428E2"/>
    <w:rsid w:val="00C4296F"/>
    <w:rsid w:val="00C42B56"/>
    <w:rsid w:val="00C42C3E"/>
    <w:rsid w:val="00C43272"/>
    <w:rsid w:val="00C43358"/>
    <w:rsid w:val="00C43DFB"/>
    <w:rsid w:val="00C43ED4"/>
    <w:rsid w:val="00C443AA"/>
    <w:rsid w:val="00C44594"/>
    <w:rsid w:val="00C44615"/>
    <w:rsid w:val="00C44692"/>
    <w:rsid w:val="00C4492A"/>
    <w:rsid w:val="00C449CB"/>
    <w:rsid w:val="00C44D64"/>
    <w:rsid w:val="00C44E31"/>
    <w:rsid w:val="00C451E3"/>
    <w:rsid w:val="00C45805"/>
    <w:rsid w:val="00C45867"/>
    <w:rsid w:val="00C458E9"/>
    <w:rsid w:val="00C45AE4"/>
    <w:rsid w:val="00C45B36"/>
    <w:rsid w:val="00C47003"/>
    <w:rsid w:val="00C4774F"/>
    <w:rsid w:val="00C47E3D"/>
    <w:rsid w:val="00C50242"/>
    <w:rsid w:val="00C50D13"/>
    <w:rsid w:val="00C50EF4"/>
    <w:rsid w:val="00C516C5"/>
    <w:rsid w:val="00C51A63"/>
    <w:rsid w:val="00C51ABB"/>
    <w:rsid w:val="00C51C6F"/>
    <w:rsid w:val="00C51FFA"/>
    <w:rsid w:val="00C520B9"/>
    <w:rsid w:val="00C52274"/>
    <w:rsid w:val="00C52290"/>
    <w:rsid w:val="00C522C0"/>
    <w:rsid w:val="00C52344"/>
    <w:rsid w:val="00C52834"/>
    <w:rsid w:val="00C529B0"/>
    <w:rsid w:val="00C52C48"/>
    <w:rsid w:val="00C53394"/>
    <w:rsid w:val="00C5387B"/>
    <w:rsid w:val="00C53916"/>
    <w:rsid w:val="00C53B91"/>
    <w:rsid w:val="00C53D96"/>
    <w:rsid w:val="00C53F56"/>
    <w:rsid w:val="00C54450"/>
    <w:rsid w:val="00C545E5"/>
    <w:rsid w:val="00C55C26"/>
    <w:rsid w:val="00C55D6E"/>
    <w:rsid w:val="00C56505"/>
    <w:rsid w:val="00C56743"/>
    <w:rsid w:val="00C56EC5"/>
    <w:rsid w:val="00C57349"/>
    <w:rsid w:val="00C579A0"/>
    <w:rsid w:val="00C57AAD"/>
    <w:rsid w:val="00C57BA5"/>
    <w:rsid w:val="00C6072F"/>
    <w:rsid w:val="00C60741"/>
    <w:rsid w:val="00C608FE"/>
    <w:rsid w:val="00C610CC"/>
    <w:rsid w:val="00C6159A"/>
    <w:rsid w:val="00C619D0"/>
    <w:rsid w:val="00C6200C"/>
    <w:rsid w:val="00C62F13"/>
    <w:rsid w:val="00C634B6"/>
    <w:rsid w:val="00C63DD4"/>
    <w:rsid w:val="00C63FCD"/>
    <w:rsid w:val="00C64EAE"/>
    <w:rsid w:val="00C65354"/>
    <w:rsid w:val="00C659E7"/>
    <w:rsid w:val="00C667B3"/>
    <w:rsid w:val="00C67059"/>
    <w:rsid w:val="00C67261"/>
    <w:rsid w:val="00C674F4"/>
    <w:rsid w:val="00C67664"/>
    <w:rsid w:val="00C67F6A"/>
    <w:rsid w:val="00C703B4"/>
    <w:rsid w:val="00C707F8"/>
    <w:rsid w:val="00C70AB6"/>
    <w:rsid w:val="00C70B2C"/>
    <w:rsid w:val="00C71DCA"/>
    <w:rsid w:val="00C71E43"/>
    <w:rsid w:val="00C726D7"/>
    <w:rsid w:val="00C72C90"/>
    <w:rsid w:val="00C73324"/>
    <w:rsid w:val="00C73451"/>
    <w:rsid w:val="00C73832"/>
    <w:rsid w:val="00C73CAD"/>
    <w:rsid w:val="00C745A4"/>
    <w:rsid w:val="00C7465B"/>
    <w:rsid w:val="00C74B8F"/>
    <w:rsid w:val="00C74D8D"/>
    <w:rsid w:val="00C765A2"/>
    <w:rsid w:val="00C7688E"/>
    <w:rsid w:val="00C76C0E"/>
    <w:rsid w:val="00C774FF"/>
    <w:rsid w:val="00C776B3"/>
    <w:rsid w:val="00C77BFB"/>
    <w:rsid w:val="00C77F3B"/>
    <w:rsid w:val="00C80025"/>
    <w:rsid w:val="00C8023E"/>
    <w:rsid w:val="00C8032B"/>
    <w:rsid w:val="00C80872"/>
    <w:rsid w:val="00C81226"/>
    <w:rsid w:val="00C8174F"/>
    <w:rsid w:val="00C81D8C"/>
    <w:rsid w:val="00C82615"/>
    <w:rsid w:val="00C832BF"/>
    <w:rsid w:val="00C835C2"/>
    <w:rsid w:val="00C8372E"/>
    <w:rsid w:val="00C8394E"/>
    <w:rsid w:val="00C83C8B"/>
    <w:rsid w:val="00C84637"/>
    <w:rsid w:val="00C84D63"/>
    <w:rsid w:val="00C851DE"/>
    <w:rsid w:val="00C85234"/>
    <w:rsid w:val="00C85880"/>
    <w:rsid w:val="00C85EB7"/>
    <w:rsid w:val="00C862A6"/>
    <w:rsid w:val="00C86593"/>
    <w:rsid w:val="00C86A36"/>
    <w:rsid w:val="00C86AC3"/>
    <w:rsid w:val="00C87676"/>
    <w:rsid w:val="00C87C6E"/>
    <w:rsid w:val="00C90422"/>
    <w:rsid w:val="00C9078A"/>
    <w:rsid w:val="00C90978"/>
    <w:rsid w:val="00C910AB"/>
    <w:rsid w:val="00C91199"/>
    <w:rsid w:val="00C91EB3"/>
    <w:rsid w:val="00C923B7"/>
    <w:rsid w:val="00C92EC9"/>
    <w:rsid w:val="00C9317C"/>
    <w:rsid w:val="00C9344B"/>
    <w:rsid w:val="00C9361F"/>
    <w:rsid w:val="00C9392B"/>
    <w:rsid w:val="00C94146"/>
    <w:rsid w:val="00C94459"/>
    <w:rsid w:val="00C959A7"/>
    <w:rsid w:val="00C95DE8"/>
    <w:rsid w:val="00C969ED"/>
    <w:rsid w:val="00C96C7C"/>
    <w:rsid w:val="00C96D6A"/>
    <w:rsid w:val="00C9790D"/>
    <w:rsid w:val="00CA0100"/>
    <w:rsid w:val="00CA0D92"/>
    <w:rsid w:val="00CA15A6"/>
    <w:rsid w:val="00CA1F88"/>
    <w:rsid w:val="00CA2736"/>
    <w:rsid w:val="00CA280D"/>
    <w:rsid w:val="00CA2C68"/>
    <w:rsid w:val="00CA304C"/>
    <w:rsid w:val="00CA30D7"/>
    <w:rsid w:val="00CA3712"/>
    <w:rsid w:val="00CA45FB"/>
    <w:rsid w:val="00CA5456"/>
    <w:rsid w:val="00CA610C"/>
    <w:rsid w:val="00CA62A4"/>
    <w:rsid w:val="00CA6781"/>
    <w:rsid w:val="00CA67A8"/>
    <w:rsid w:val="00CA68F0"/>
    <w:rsid w:val="00CA6A60"/>
    <w:rsid w:val="00CA7C01"/>
    <w:rsid w:val="00CA7D5F"/>
    <w:rsid w:val="00CA7E9D"/>
    <w:rsid w:val="00CB0059"/>
    <w:rsid w:val="00CB071B"/>
    <w:rsid w:val="00CB0805"/>
    <w:rsid w:val="00CB0BDE"/>
    <w:rsid w:val="00CB16F9"/>
    <w:rsid w:val="00CB1E58"/>
    <w:rsid w:val="00CB1FCD"/>
    <w:rsid w:val="00CB2CAF"/>
    <w:rsid w:val="00CB2D50"/>
    <w:rsid w:val="00CB2E74"/>
    <w:rsid w:val="00CB3559"/>
    <w:rsid w:val="00CB390B"/>
    <w:rsid w:val="00CB3977"/>
    <w:rsid w:val="00CB4348"/>
    <w:rsid w:val="00CB4F1D"/>
    <w:rsid w:val="00CB53A3"/>
    <w:rsid w:val="00CB55C5"/>
    <w:rsid w:val="00CB56C6"/>
    <w:rsid w:val="00CB5902"/>
    <w:rsid w:val="00CB5B87"/>
    <w:rsid w:val="00CB5DBA"/>
    <w:rsid w:val="00CB60D8"/>
    <w:rsid w:val="00CB67BE"/>
    <w:rsid w:val="00CB68D3"/>
    <w:rsid w:val="00CB6E9F"/>
    <w:rsid w:val="00CB702B"/>
    <w:rsid w:val="00CB7878"/>
    <w:rsid w:val="00CB7C1F"/>
    <w:rsid w:val="00CC0460"/>
    <w:rsid w:val="00CC0D52"/>
    <w:rsid w:val="00CC0F76"/>
    <w:rsid w:val="00CC12EA"/>
    <w:rsid w:val="00CC1971"/>
    <w:rsid w:val="00CC1A86"/>
    <w:rsid w:val="00CC1A94"/>
    <w:rsid w:val="00CC1BD0"/>
    <w:rsid w:val="00CC246D"/>
    <w:rsid w:val="00CC3257"/>
    <w:rsid w:val="00CC4292"/>
    <w:rsid w:val="00CC4398"/>
    <w:rsid w:val="00CC4B56"/>
    <w:rsid w:val="00CC4CAC"/>
    <w:rsid w:val="00CC501F"/>
    <w:rsid w:val="00CC57FD"/>
    <w:rsid w:val="00CC59EB"/>
    <w:rsid w:val="00CC5A43"/>
    <w:rsid w:val="00CC636B"/>
    <w:rsid w:val="00CC6416"/>
    <w:rsid w:val="00CC6F12"/>
    <w:rsid w:val="00CC71CE"/>
    <w:rsid w:val="00CC7212"/>
    <w:rsid w:val="00CC7F1D"/>
    <w:rsid w:val="00CD0981"/>
    <w:rsid w:val="00CD140C"/>
    <w:rsid w:val="00CD1444"/>
    <w:rsid w:val="00CD25B9"/>
    <w:rsid w:val="00CD2FCE"/>
    <w:rsid w:val="00CD34FE"/>
    <w:rsid w:val="00CD35F8"/>
    <w:rsid w:val="00CD3697"/>
    <w:rsid w:val="00CD36FD"/>
    <w:rsid w:val="00CD3B2B"/>
    <w:rsid w:val="00CD41BD"/>
    <w:rsid w:val="00CD43AF"/>
    <w:rsid w:val="00CD4ECF"/>
    <w:rsid w:val="00CD56BE"/>
    <w:rsid w:val="00CD5894"/>
    <w:rsid w:val="00CD58D7"/>
    <w:rsid w:val="00CD5C80"/>
    <w:rsid w:val="00CD5E87"/>
    <w:rsid w:val="00CD68D7"/>
    <w:rsid w:val="00CE0590"/>
    <w:rsid w:val="00CE0B09"/>
    <w:rsid w:val="00CE0B87"/>
    <w:rsid w:val="00CE1611"/>
    <w:rsid w:val="00CE18A8"/>
    <w:rsid w:val="00CE1D7F"/>
    <w:rsid w:val="00CE1E2C"/>
    <w:rsid w:val="00CE277B"/>
    <w:rsid w:val="00CE2804"/>
    <w:rsid w:val="00CE2C13"/>
    <w:rsid w:val="00CE2D2B"/>
    <w:rsid w:val="00CE2E77"/>
    <w:rsid w:val="00CE2FEF"/>
    <w:rsid w:val="00CE340B"/>
    <w:rsid w:val="00CE38D5"/>
    <w:rsid w:val="00CE3A37"/>
    <w:rsid w:val="00CE3B47"/>
    <w:rsid w:val="00CE4742"/>
    <w:rsid w:val="00CE47BC"/>
    <w:rsid w:val="00CE4809"/>
    <w:rsid w:val="00CE489D"/>
    <w:rsid w:val="00CE49E5"/>
    <w:rsid w:val="00CE4B10"/>
    <w:rsid w:val="00CE4C0A"/>
    <w:rsid w:val="00CE4E99"/>
    <w:rsid w:val="00CE52CE"/>
    <w:rsid w:val="00CE5627"/>
    <w:rsid w:val="00CE5640"/>
    <w:rsid w:val="00CE58B8"/>
    <w:rsid w:val="00CE6003"/>
    <w:rsid w:val="00CE616F"/>
    <w:rsid w:val="00CE6424"/>
    <w:rsid w:val="00CE7279"/>
    <w:rsid w:val="00CE74FD"/>
    <w:rsid w:val="00CE76E5"/>
    <w:rsid w:val="00CE784A"/>
    <w:rsid w:val="00CE7AB6"/>
    <w:rsid w:val="00CE7FC3"/>
    <w:rsid w:val="00CF037D"/>
    <w:rsid w:val="00CF0C7A"/>
    <w:rsid w:val="00CF0E92"/>
    <w:rsid w:val="00CF109E"/>
    <w:rsid w:val="00CF1259"/>
    <w:rsid w:val="00CF18CF"/>
    <w:rsid w:val="00CF1DD5"/>
    <w:rsid w:val="00CF25CD"/>
    <w:rsid w:val="00CF2838"/>
    <w:rsid w:val="00CF3A9C"/>
    <w:rsid w:val="00CF3BD2"/>
    <w:rsid w:val="00CF3EA4"/>
    <w:rsid w:val="00CF3ECC"/>
    <w:rsid w:val="00CF40D5"/>
    <w:rsid w:val="00CF4596"/>
    <w:rsid w:val="00CF46A9"/>
    <w:rsid w:val="00CF4830"/>
    <w:rsid w:val="00CF4ABE"/>
    <w:rsid w:val="00CF4B3A"/>
    <w:rsid w:val="00CF5316"/>
    <w:rsid w:val="00CF5394"/>
    <w:rsid w:val="00CF5858"/>
    <w:rsid w:val="00CF5B2C"/>
    <w:rsid w:val="00CF5B5D"/>
    <w:rsid w:val="00CF5CAE"/>
    <w:rsid w:val="00CF6C7F"/>
    <w:rsid w:val="00CF7069"/>
    <w:rsid w:val="00CF708A"/>
    <w:rsid w:val="00CF756D"/>
    <w:rsid w:val="00CF7DE2"/>
    <w:rsid w:val="00D0000C"/>
    <w:rsid w:val="00D00166"/>
    <w:rsid w:val="00D00EE1"/>
    <w:rsid w:val="00D0157F"/>
    <w:rsid w:val="00D01654"/>
    <w:rsid w:val="00D016B2"/>
    <w:rsid w:val="00D01E5E"/>
    <w:rsid w:val="00D024B9"/>
    <w:rsid w:val="00D02FFE"/>
    <w:rsid w:val="00D03DA2"/>
    <w:rsid w:val="00D04098"/>
    <w:rsid w:val="00D047F3"/>
    <w:rsid w:val="00D04A0B"/>
    <w:rsid w:val="00D0547D"/>
    <w:rsid w:val="00D060BA"/>
    <w:rsid w:val="00D065FB"/>
    <w:rsid w:val="00D06CFB"/>
    <w:rsid w:val="00D06F1D"/>
    <w:rsid w:val="00D07803"/>
    <w:rsid w:val="00D07D65"/>
    <w:rsid w:val="00D1049C"/>
    <w:rsid w:val="00D10727"/>
    <w:rsid w:val="00D10775"/>
    <w:rsid w:val="00D107A1"/>
    <w:rsid w:val="00D10C58"/>
    <w:rsid w:val="00D10CE3"/>
    <w:rsid w:val="00D10FA5"/>
    <w:rsid w:val="00D11205"/>
    <w:rsid w:val="00D1132E"/>
    <w:rsid w:val="00D128B1"/>
    <w:rsid w:val="00D12FFA"/>
    <w:rsid w:val="00D135E5"/>
    <w:rsid w:val="00D13FDF"/>
    <w:rsid w:val="00D1422B"/>
    <w:rsid w:val="00D1449D"/>
    <w:rsid w:val="00D144B9"/>
    <w:rsid w:val="00D149E8"/>
    <w:rsid w:val="00D158C2"/>
    <w:rsid w:val="00D15956"/>
    <w:rsid w:val="00D16546"/>
    <w:rsid w:val="00D165E4"/>
    <w:rsid w:val="00D16912"/>
    <w:rsid w:val="00D16B16"/>
    <w:rsid w:val="00D16E6C"/>
    <w:rsid w:val="00D173B5"/>
    <w:rsid w:val="00D176F7"/>
    <w:rsid w:val="00D17987"/>
    <w:rsid w:val="00D17E77"/>
    <w:rsid w:val="00D17EFB"/>
    <w:rsid w:val="00D2039D"/>
    <w:rsid w:val="00D2078B"/>
    <w:rsid w:val="00D20E3B"/>
    <w:rsid w:val="00D215E5"/>
    <w:rsid w:val="00D21603"/>
    <w:rsid w:val="00D21BD1"/>
    <w:rsid w:val="00D21E92"/>
    <w:rsid w:val="00D221A4"/>
    <w:rsid w:val="00D2245E"/>
    <w:rsid w:val="00D2300B"/>
    <w:rsid w:val="00D2329F"/>
    <w:rsid w:val="00D23577"/>
    <w:rsid w:val="00D24437"/>
    <w:rsid w:val="00D249E8"/>
    <w:rsid w:val="00D24B5C"/>
    <w:rsid w:val="00D25768"/>
    <w:rsid w:val="00D259A1"/>
    <w:rsid w:val="00D26593"/>
    <w:rsid w:val="00D265A5"/>
    <w:rsid w:val="00D26BF9"/>
    <w:rsid w:val="00D27227"/>
    <w:rsid w:val="00D273AD"/>
    <w:rsid w:val="00D275A8"/>
    <w:rsid w:val="00D2763C"/>
    <w:rsid w:val="00D27783"/>
    <w:rsid w:val="00D27A8B"/>
    <w:rsid w:val="00D27BE1"/>
    <w:rsid w:val="00D305B6"/>
    <w:rsid w:val="00D30743"/>
    <w:rsid w:val="00D307F2"/>
    <w:rsid w:val="00D3081D"/>
    <w:rsid w:val="00D308E1"/>
    <w:rsid w:val="00D30B38"/>
    <w:rsid w:val="00D30F4A"/>
    <w:rsid w:val="00D30FA1"/>
    <w:rsid w:val="00D31019"/>
    <w:rsid w:val="00D312D5"/>
    <w:rsid w:val="00D315CD"/>
    <w:rsid w:val="00D31ADF"/>
    <w:rsid w:val="00D31C4C"/>
    <w:rsid w:val="00D32129"/>
    <w:rsid w:val="00D32462"/>
    <w:rsid w:val="00D33772"/>
    <w:rsid w:val="00D33ACE"/>
    <w:rsid w:val="00D33BCB"/>
    <w:rsid w:val="00D33C01"/>
    <w:rsid w:val="00D3450C"/>
    <w:rsid w:val="00D34672"/>
    <w:rsid w:val="00D346BC"/>
    <w:rsid w:val="00D34CFA"/>
    <w:rsid w:val="00D34F21"/>
    <w:rsid w:val="00D35275"/>
    <w:rsid w:val="00D357DE"/>
    <w:rsid w:val="00D35B45"/>
    <w:rsid w:val="00D35BAB"/>
    <w:rsid w:val="00D36105"/>
    <w:rsid w:val="00D368D5"/>
    <w:rsid w:val="00D400F8"/>
    <w:rsid w:val="00D405FA"/>
    <w:rsid w:val="00D41047"/>
    <w:rsid w:val="00D41108"/>
    <w:rsid w:val="00D416F2"/>
    <w:rsid w:val="00D42835"/>
    <w:rsid w:val="00D42859"/>
    <w:rsid w:val="00D42EAA"/>
    <w:rsid w:val="00D43146"/>
    <w:rsid w:val="00D436D1"/>
    <w:rsid w:val="00D44344"/>
    <w:rsid w:val="00D44945"/>
    <w:rsid w:val="00D44A30"/>
    <w:rsid w:val="00D44A98"/>
    <w:rsid w:val="00D455C3"/>
    <w:rsid w:val="00D455D6"/>
    <w:rsid w:val="00D4569E"/>
    <w:rsid w:val="00D4646C"/>
    <w:rsid w:val="00D46834"/>
    <w:rsid w:val="00D47095"/>
    <w:rsid w:val="00D47AE8"/>
    <w:rsid w:val="00D502D0"/>
    <w:rsid w:val="00D50397"/>
    <w:rsid w:val="00D50520"/>
    <w:rsid w:val="00D50C1F"/>
    <w:rsid w:val="00D510FA"/>
    <w:rsid w:val="00D51271"/>
    <w:rsid w:val="00D51D0B"/>
    <w:rsid w:val="00D51E16"/>
    <w:rsid w:val="00D520AB"/>
    <w:rsid w:val="00D5225C"/>
    <w:rsid w:val="00D5269C"/>
    <w:rsid w:val="00D526EF"/>
    <w:rsid w:val="00D527FF"/>
    <w:rsid w:val="00D54065"/>
    <w:rsid w:val="00D54384"/>
    <w:rsid w:val="00D550AF"/>
    <w:rsid w:val="00D550E0"/>
    <w:rsid w:val="00D5516A"/>
    <w:rsid w:val="00D55200"/>
    <w:rsid w:val="00D553AD"/>
    <w:rsid w:val="00D565DB"/>
    <w:rsid w:val="00D578A0"/>
    <w:rsid w:val="00D57A05"/>
    <w:rsid w:val="00D601F0"/>
    <w:rsid w:val="00D60F15"/>
    <w:rsid w:val="00D61297"/>
    <w:rsid w:val="00D61D3A"/>
    <w:rsid w:val="00D61E41"/>
    <w:rsid w:val="00D61FA8"/>
    <w:rsid w:val="00D61FD5"/>
    <w:rsid w:val="00D624CC"/>
    <w:rsid w:val="00D627CF"/>
    <w:rsid w:val="00D62B0E"/>
    <w:rsid w:val="00D62CD4"/>
    <w:rsid w:val="00D6304D"/>
    <w:rsid w:val="00D6314E"/>
    <w:rsid w:val="00D63471"/>
    <w:rsid w:val="00D6353C"/>
    <w:rsid w:val="00D6429B"/>
    <w:rsid w:val="00D64E98"/>
    <w:rsid w:val="00D65376"/>
    <w:rsid w:val="00D6538D"/>
    <w:rsid w:val="00D65416"/>
    <w:rsid w:val="00D6563E"/>
    <w:rsid w:val="00D6595E"/>
    <w:rsid w:val="00D65990"/>
    <w:rsid w:val="00D65AA9"/>
    <w:rsid w:val="00D65FDF"/>
    <w:rsid w:val="00D66690"/>
    <w:rsid w:val="00D6698B"/>
    <w:rsid w:val="00D66F7D"/>
    <w:rsid w:val="00D66FE8"/>
    <w:rsid w:val="00D670E3"/>
    <w:rsid w:val="00D6717D"/>
    <w:rsid w:val="00D6752C"/>
    <w:rsid w:val="00D6762E"/>
    <w:rsid w:val="00D70137"/>
    <w:rsid w:val="00D70509"/>
    <w:rsid w:val="00D70A35"/>
    <w:rsid w:val="00D70D97"/>
    <w:rsid w:val="00D71350"/>
    <w:rsid w:val="00D715AE"/>
    <w:rsid w:val="00D71628"/>
    <w:rsid w:val="00D718F9"/>
    <w:rsid w:val="00D71C2E"/>
    <w:rsid w:val="00D71C9B"/>
    <w:rsid w:val="00D71F89"/>
    <w:rsid w:val="00D726E1"/>
    <w:rsid w:val="00D729B0"/>
    <w:rsid w:val="00D72C34"/>
    <w:rsid w:val="00D733E3"/>
    <w:rsid w:val="00D73AD9"/>
    <w:rsid w:val="00D73FC7"/>
    <w:rsid w:val="00D746AE"/>
    <w:rsid w:val="00D74DA8"/>
    <w:rsid w:val="00D75514"/>
    <w:rsid w:val="00D761C1"/>
    <w:rsid w:val="00D7632E"/>
    <w:rsid w:val="00D7639F"/>
    <w:rsid w:val="00D7669F"/>
    <w:rsid w:val="00D76977"/>
    <w:rsid w:val="00D776DD"/>
    <w:rsid w:val="00D8082D"/>
    <w:rsid w:val="00D80B1B"/>
    <w:rsid w:val="00D8268F"/>
    <w:rsid w:val="00D83933"/>
    <w:rsid w:val="00D83AFA"/>
    <w:rsid w:val="00D83CD4"/>
    <w:rsid w:val="00D83E20"/>
    <w:rsid w:val="00D853F9"/>
    <w:rsid w:val="00D8564E"/>
    <w:rsid w:val="00D85908"/>
    <w:rsid w:val="00D8655B"/>
    <w:rsid w:val="00D868FE"/>
    <w:rsid w:val="00D8788C"/>
    <w:rsid w:val="00D87E44"/>
    <w:rsid w:val="00D90618"/>
    <w:rsid w:val="00D90B20"/>
    <w:rsid w:val="00D90D17"/>
    <w:rsid w:val="00D90FFE"/>
    <w:rsid w:val="00D91455"/>
    <w:rsid w:val="00D91641"/>
    <w:rsid w:val="00D917EE"/>
    <w:rsid w:val="00D92118"/>
    <w:rsid w:val="00D92B08"/>
    <w:rsid w:val="00D92CC4"/>
    <w:rsid w:val="00D935D2"/>
    <w:rsid w:val="00D94704"/>
    <w:rsid w:val="00D94F6B"/>
    <w:rsid w:val="00D95A4C"/>
    <w:rsid w:val="00D95D6E"/>
    <w:rsid w:val="00D96668"/>
    <w:rsid w:val="00D96997"/>
    <w:rsid w:val="00D96CB3"/>
    <w:rsid w:val="00D977AA"/>
    <w:rsid w:val="00D978D1"/>
    <w:rsid w:val="00DA012A"/>
    <w:rsid w:val="00DA0446"/>
    <w:rsid w:val="00DA04CD"/>
    <w:rsid w:val="00DA04F8"/>
    <w:rsid w:val="00DA0574"/>
    <w:rsid w:val="00DA0A08"/>
    <w:rsid w:val="00DA0A2E"/>
    <w:rsid w:val="00DA0BD8"/>
    <w:rsid w:val="00DA0FBD"/>
    <w:rsid w:val="00DA122C"/>
    <w:rsid w:val="00DA15B7"/>
    <w:rsid w:val="00DA1778"/>
    <w:rsid w:val="00DA1CFE"/>
    <w:rsid w:val="00DA1DBC"/>
    <w:rsid w:val="00DA26A4"/>
    <w:rsid w:val="00DA2D65"/>
    <w:rsid w:val="00DA2F70"/>
    <w:rsid w:val="00DA335E"/>
    <w:rsid w:val="00DA3595"/>
    <w:rsid w:val="00DA3AA5"/>
    <w:rsid w:val="00DA3BF9"/>
    <w:rsid w:val="00DA3F7B"/>
    <w:rsid w:val="00DA4552"/>
    <w:rsid w:val="00DA47B1"/>
    <w:rsid w:val="00DA48BB"/>
    <w:rsid w:val="00DA49DE"/>
    <w:rsid w:val="00DA5231"/>
    <w:rsid w:val="00DA536B"/>
    <w:rsid w:val="00DA6620"/>
    <w:rsid w:val="00DA66DD"/>
    <w:rsid w:val="00DA6A84"/>
    <w:rsid w:val="00DA7158"/>
    <w:rsid w:val="00DA737D"/>
    <w:rsid w:val="00DA74FE"/>
    <w:rsid w:val="00DA7655"/>
    <w:rsid w:val="00DA7D95"/>
    <w:rsid w:val="00DB0FC8"/>
    <w:rsid w:val="00DB13F0"/>
    <w:rsid w:val="00DB19D0"/>
    <w:rsid w:val="00DB1F3E"/>
    <w:rsid w:val="00DB1F61"/>
    <w:rsid w:val="00DB3989"/>
    <w:rsid w:val="00DB408D"/>
    <w:rsid w:val="00DB4111"/>
    <w:rsid w:val="00DB50D2"/>
    <w:rsid w:val="00DB516C"/>
    <w:rsid w:val="00DB5AD6"/>
    <w:rsid w:val="00DB5F80"/>
    <w:rsid w:val="00DB6288"/>
    <w:rsid w:val="00DB62DE"/>
    <w:rsid w:val="00DB65C2"/>
    <w:rsid w:val="00DB6A26"/>
    <w:rsid w:val="00DB6E4F"/>
    <w:rsid w:val="00DB7076"/>
    <w:rsid w:val="00DB74A0"/>
    <w:rsid w:val="00DB7591"/>
    <w:rsid w:val="00DB778D"/>
    <w:rsid w:val="00DB77F4"/>
    <w:rsid w:val="00DC048B"/>
    <w:rsid w:val="00DC06E5"/>
    <w:rsid w:val="00DC0829"/>
    <w:rsid w:val="00DC0D4E"/>
    <w:rsid w:val="00DC1413"/>
    <w:rsid w:val="00DC1BAE"/>
    <w:rsid w:val="00DC1CBD"/>
    <w:rsid w:val="00DC1E58"/>
    <w:rsid w:val="00DC2300"/>
    <w:rsid w:val="00DC2690"/>
    <w:rsid w:val="00DC2A54"/>
    <w:rsid w:val="00DC2F64"/>
    <w:rsid w:val="00DC3137"/>
    <w:rsid w:val="00DC318A"/>
    <w:rsid w:val="00DC4ED0"/>
    <w:rsid w:val="00DC5293"/>
    <w:rsid w:val="00DC5460"/>
    <w:rsid w:val="00DC5583"/>
    <w:rsid w:val="00DC5FD0"/>
    <w:rsid w:val="00DC6A37"/>
    <w:rsid w:val="00DC6A98"/>
    <w:rsid w:val="00DC7B15"/>
    <w:rsid w:val="00DD004B"/>
    <w:rsid w:val="00DD025E"/>
    <w:rsid w:val="00DD0500"/>
    <w:rsid w:val="00DD129F"/>
    <w:rsid w:val="00DD1AA5"/>
    <w:rsid w:val="00DD20E4"/>
    <w:rsid w:val="00DD20F1"/>
    <w:rsid w:val="00DD2A1E"/>
    <w:rsid w:val="00DD31A4"/>
    <w:rsid w:val="00DD3886"/>
    <w:rsid w:val="00DD3F72"/>
    <w:rsid w:val="00DD4AD3"/>
    <w:rsid w:val="00DD4EC8"/>
    <w:rsid w:val="00DD5184"/>
    <w:rsid w:val="00DD51E5"/>
    <w:rsid w:val="00DD5203"/>
    <w:rsid w:val="00DD5682"/>
    <w:rsid w:val="00DD5D0E"/>
    <w:rsid w:val="00DD6213"/>
    <w:rsid w:val="00DD6936"/>
    <w:rsid w:val="00DD7693"/>
    <w:rsid w:val="00DD7F11"/>
    <w:rsid w:val="00DE0023"/>
    <w:rsid w:val="00DE004B"/>
    <w:rsid w:val="00DE0339"/>
    <w:rsid w:val="00DE0C7B"/>
    <w:rsid w:val="00DE0CEC"/>
    <w:rsid w:val="00DE1546"/>
    <w:rsid w:val="00DE15F9"/>
    <w:rsid w:val="00DE1A96"/>
    <w:rsid w:val="00DE1F2F"/>
    <w:rsid w:val="00DE1F8A"/>
    <w:rsid w:val="00DE1FE3"/>
    <w:rsid w:val="00DE2117"/>
    <w:rsid w:val="00DE2869"/>
    <w:rsid w:val="00DE28BE"/>
    <w:rsid w:val="00DE2938"/>
    <w:rsid w:val="00DE2B65"/>
    <w:rsid w:val="00DE2C05"/>
    <w:rsid w:val="00DE2C21"/>
    <w:rsid w:val="00DE2ECB"/>
    <w:rsid w:val="00DE394F"/>
    <w:rsid w:val="00DE3BD7"/>
    <w:rsid w:val="00DE497F"/>
    <w:rsid w:val="00DE52A4"/>
    <w:rsid w:val="00DE5351"/>
    <w:rsid w:val="00DE5634"/>
    <w:rsid w:val="00DE5A39"/>
    <w:rsid w:val="00DE658C"/>
    <w:rsid w:val="00DE6A22"/>
    <w:rsid w:val="00DE6E5F"/>
    <w:rsid w:val="00DE70EA"/>
    <w:rsid w:val="00DE755D"/>
    <w:rsid w:val="00DE7CA0"/>
    <w:rsid w:val="00DF05E5"/>
    <w:rsid w:val="00DF0616"/>
    <w:rsid w:val="00DF0877"/>
    <w:rsid w:val="00DF08A1"/>
    <w:rsid w:val="00DF0B23"/>
    <w:rsid w:val="00DF0C67"/>
    <w:rsid w:val="00DF2015"/>
    <w:rsid w:val="00DF239D"/>
    <w:rsid w:val="00DF2D36"/>
    <w:rsid w:val="00DF3168"/>
    <w:rsid w:val="00DF3682"/>
    <w:rsid w:val="00DF3A0D"/>
    <w:rsid w:val="00DF4072"/>
    <w:rsid w:val="00DF429A"/>
    <w:rsid w:val="00DF5070"/>
    <w:rsid w:val="00DF5996"/>
    <w:rsid w:val="00DF615C"/>
    <w:rsid w:val="00DF6415"/>
    <w:rsid w:val="00DF708C"/>
    <w:rsid w:val="00DF722D"/>
    <w:rsid w:val="00DF7512"/>
    <w:rsid w:val="00DF7F68"/>
    <w:rsid w:val="00E00102"/>
    <w:rsid w:val="00E00257"/>
    <w:rsid w:val="00E0025A"/>
    <w:rsid w:val="00E007EB"/>
    <w:rsid w:val="00E00A70"/>
    <w:rsid w:val="00E01B88"/>
    <w:rsid w:val="00E01BD6"/>
    <w:rsid w:val="00E02D03"/>
    <w:rsid w:val="00E02DB8"/>
    <w:rsid w:val="00E02F22"/>
    <w:rsid w:val="00E033CE"/>
    <w:rsid w:val="00E033D3"/>
    <w:rsid w:val="00E03572"/>
    <w:rsid w:val="00E03756"/>
    <w:rsid w:val="00E039AF"/>
    <w:rsid w:val="00E039C0"/>
    <w:rsid w:val="00E04205"/>
    <w:rsid w:val="00E043C0"/>
    <w:rsid w:val="00E04D97"/>
    <w:rsid w:val="00E05610"/>
    <w:rsid w:val="00E05733"/>
    <w:rsid w:val="00E05E43"/>
    <w:rsid w:val="00E06C27"/>
    <w:rsid w:val="00E06F33"/>
    <w:rsid w:val="00E07534"/>
    <w:rsid w:val="00E07646"/>
    <w:rsid w:val="00E07CD0"/>
    <w:rsid w:val="00E104AA"/>
    <w:rsid w:val="00E10738"/>
    <w:rsid w:val="00E10BA7"/>
    <w:rsid w:val="00E111FE"/>
    <w:rsid w:val="00E1132D"/>
    <w:rsid w:val="00E11373"/>
    <w:rsid w:val="00E11F54"/>
    <w:rsid w:val="00E125CF"/>
    <w:rsid w:val="00E125E4"/>
    <w:rsid w:val="00E12A12"/>
    <w:rsid w:val="00E14AE3"/>
    <w:rsid w:val="00E1542E"/>
    <w:rsid w:val="00E15907"/>
    <w:rsid w:val="00E15B9F"/>
    <w:rsid w:val="00E15D6E"/>
    <w:rsid w:val="00E167CE"/>
    <w:rsid w:val="00E16CE1"/>
    <w:rsid w:val="00E16D3E"/>
    <w:rsid w:val="00E17447"/>
    <w:rsid w:val="00E17AEE"/>
    <w:rsid w:val="00E17B16"/>
    <w:rsid w:val="00E17B8E"/>
    <w:rsid w:val="00E17B8F"/>
    <w:rsid w:val="00E212DB"/>
    <w:rsid w:val="00E21B33"/>
    <w:rsid w:val="00E21C56"/>
    <w:rsid w:val="00E22220"/>
    <w:rsid w:val="00E2287B"/>
    <w:rsid w:val="00E22D59"/>
    <w:rsid w:val="00E23669"/>
    <w:rsid w:val="00E236F7"/>
    <w:rsid w:val="00E23706"/>
    <w:rsid w:val="00E23816"/>
    <w:rsid w:val="00E23FD7"/>
    <w:rsid w:val="00E2493E"/>
    <w:rsid w:val="00E24CCD"/>
    <w:rsid w:val="00E24FF2"/>
    <w:rsid w:val="00E25101"/>
    <w:rsid w:val="00E25DFE"/>
    <w:rsid w:val="00E25EC4"/>
    <w:rsid w:val="00E26422"/>
    <w:rsid w:val="00E264EA"/>
    <w:rsid w:val="00E26562"/>
    <w:rsid w:val="00E265F2"/>
    <w:rsid w:val="00E269C0"/>
    <w:rsid w:val="00E27368"/>
    <w:rsid w:val="00E27A0F"/>
    <w:rsid w:val="00E27B8F"/>
    <w:rsid w:val="00E27FD5"/>
    <w:rsid w:val="00E30077"/>
    <w:rsid w:val="00E3123A"/>
    <w:rsid w:val="00E317A8"/>
    <w:rsid w:val="00E32494"/>
    <w:rsid w:val="00E32578"/>
    <w:rsid w:val="00E32937"/>
    <w:rsid w:val="00E32FE7"/>
    <w:rsid w:val="00E3384C"/>
    <w:rsid w:val="00E339B3"/>
    <w:rsid w:val="00E33CA1"/>
    <w:rsid w:val="00E34EE1"/>
    <w:rsid w:val="00E3535C"/>
    <w:rsid w:val="00E355BA"/>
    <w:rsid w:val="00E355C5"/>
    <w:rsid w:val="00E36146"/>
    <w:rsid w:val="00E36250"/>
    <w:rsid w:val="00E3703B"/>
    <w:rsid w:val="00E37551"/>
    <w:rsid w:val="00E3792B"/>
    <w:rsid w:val="00E37B68"/>
    <w:rsid w:val="00E37F56"/>
    <w:rsid w:val="00E410E5"/>
    <w:rsid w:val="00E41B66"/>
    <w:rsid w:val="00E422A1"/>
    <w:rsid w:val="00E425F6"/>
    <w:rsid w:val="00E42871"/>
    <w:rsid w:val="00E42F45"/>
    <w:rsid w:val="00E43070"/>
    <w:rsid w:val="00E4307D"/>
    <w:rsid w:val="00E43177"/>
    <w:rsid w:val="00E431EF"/>
    <w:rsid w:val="00E43225"/>
    <w:rsid w:val="00E440A2"/>
    <w:rsid w:val="00E44561"/>
    <w:rsid w:val="00E44595"/>
    <w:rsid w:val="00E44609"/>
    <w:rsid w:val="00E44887"/>
    <w:rsid w:val="00E448E8"/>
    <w:rsid w:val="00E44B3E"/>
    <w:rsid w:val="00E4546B"/>
    <w:rsid w:val="00E459D9"/>
    <w:rsid w:val="00E45CBD"/>
    <w:rsid w:val="00E45D5E"/>
    <w:rsid w:val="00E45D7A"/>
    <w:rsid w:val="00E45F70"/>
    <w:rsid w:val="00E45FB1"/>
    <w:rsid w:val="00E4602F"/>
    <w:rsid w:val="00E46325"/>
    <w:rsid w:val="00E4663B"/>
    <w:rsid w:val="00E47270"/>
    <w:rsid w:val="00E473CC"/>
    <w:rsid w:val="00E47F4D"/>
    <w:rsid w:val="00E505E7"/>
    <w:rsid w:val="00E50685"/>
    <w:rsid w:val="00E5083B"/>
    <w:rsid w:val="00E51C60"/>
    <w:rsid w:val="00E52AB5"/>
    <w:rsid w:val="00E52DEE"/>
    <w:rsid w:val="00E53684"/>
    <w:rsid w:val="00E53A91"/>
    <w:rsid w:val="00E53ADF"/>
    <w:rsid w:val="00E53CCF"/>
    <w:rsid w:val="00E53E3C"/>
    <w:rsid w:val="00E53F26"/>
    <w:rsid w:val="00E54579"/>
    <w:rsid w:val="00E54758"/>
    <w:rsid w:val="00E554EB"/>
    <w:rsid w:val="00E55964"/>
    <w:rsid w:val="00E55F0C"/>
    <w:rsid w:val="00E56EFB"/>
    <w:rsid w:val="00E57274"/>
    <w:rsid w:val="00E5762C"/>
    <w:rsid w:val="00E57F07"/>
    <w:rsid w:val="00E607F8"/>
    <w:rsid w:val="00E60B3E"/>
    <w:rsid w:val="00E60D13"/>
    <w:rsid w:val="00E614FC"/>
    <w:rsid w:val="00E62058"/>
    <w:rsid w:val="00E621F4"/>
    <w:rsid w:val="00E62AE4"/>
    <w:rsid w:val="00E62D0E"/>
    <w:rsid w:val="00E62D68"/>
    <w:rsid w:val="00E63707"/>
    <w:rsid w:val="00E637AD"/>
    <w:rsid w:val="00E63C47"/>
    <w:rsid w:val="00E63F14"/>
    <w:rsid w:val="00E64C24"/>
    <w:rsid w:val="00E65306"/>
    <w:rsid w:val="00E65665"/>
    <w:rsid w:val="00E6643E"/>
    <w:rsid w:val="00E6681E"/>
    <w:rsid w:val="00E67D8A"/>
    <w:rsid w:val="00E7034E"/>
    <w:rsid w:val="00E703BF"/>
    <w:rsid w:val="00E70C62"/>
    <w:rsid w:val="00E70DA6"/>
    <w:rsid w:val="00E70EF7"/>
    <w:rsid w:val="00E71324"/>
    <w:rsid w:val="00E714D4"/>
    <w:rsid w:val="00E7154B"/>
    <w:rsid w:val="00E71973"/>
    <w:rsid w:val="00E723A5"/>
    <w:rsid w:val="00E72732"/>
    <w:rsid w:val="00E7281F"/>
    <w:rsid w:val="00E7297B"/>
    <w:rsid w:val="00E72CD1"/>
    <w:rsid w:val="00E737EE"/>
    <w:rsid w:val="00E73B17"/>
    <w:rsid w:val="00E73B6A"/>
    <w:rsid w:val="00E73E4B"/>
    <w:rsid w:val="00E73E4F"/>
    <w:rsid w:val="00E74A42"/>
    <w:rsid w:val="00E74EFB"/>
    <w:rsid w:val="00E74FD3"/>
    <w:rsid w:val="00E75431"/>
    <w:rsid w:val="00E756B0"/>
    <w:rsid w:val="00E757AA"/>
    <w:rsid w:val="00E75E64"/>
    <w:rsid w:val="00E77367"/>
    <w:rsid w:val="00E7741A"/>
    <w:rsid w:val="00E80116"/>
    <w:rsid w:val="00E8041B"/>
    <w:rsid w:val="00E80B20"/>
    <w:rsid w:val="00E81C9A"/>
    <w:rsid w:val="00E821E6"/>
    <w:rsid w:val="00E83063"/>
    <w:rsid w:val="00E8325E"/>
    <w:rsid w:val="00E83708"/>
    <w:rsid w:val="00E837B9"/>
    <w:rsid w:val="00E839A7"/>
    <w:rsid w:val="00E83ACB"/>
    <w:rsid w:val="00E83C6E"/>
    <w:rsid w:val="00E84031"/>
    <w:rsid w:val="00E845B3"/>
    <w:rsid w:val="00E84E25"/>
    <w:rsid w:val="00E853D3"/>
    <w:rsid w:val="00E85478"/>
    <w:rsid w:val="00E857B9"/>
    <w:rsid w:val="00E85910"/>
    <w:rsid w:val="00E85A00"/>
    <w:rsid w:val="00E85C31"/>
    <w:rsid w:val="00E85F73"/>
    <w:rsid w:val="00E86142"/>
    <w:rsid w:val="00E862A4"/>
    <w:rsid w:val="00E867A4"/>
    <w:rsid w:val="00E869E7"/>
    <w:rsid w:val="00E87531"/>
    <w:rsid w:val="00E9029E"/>
    <w:rsid w:val="00E90467"/>
    <w:rsid w:val="00E90C12"/>
    <w:rsid w:val="00E91212"/>
    <w:rsid w:val="00E91BA1"/>
    <w:rsid w:val="00E91C3C"/>
    <w:rsid w:val="00E91C98"/>
    <w:rsid w:val="00E91FBE"/>
    <w:rsid w:val="00E926C7"/>
    <w:rsid w:val="00E92AD3"/>
    <w:rsid w:val="00E94729"/>
    <w:rsid w:val="00E95074"/>
    <w:rsid w:val="00E950DE"/>
    <w:rsid w:val="00E95829"/>
    <w:rsid w:val="00E95F43"/>
    <w:rsid w:val="00E964D1"/>
    <w:rsid w:val="00E9664B"/>
    <w:rsid w:val="00E96704"/>
    <w:rsid w:val="00E96927"/>
    <w:rsid w:val="00E97829"/>
    <w:rsid w:val="00E979B9"/>
    <w:rsid w:val="00E97D66"/>
    <w:rsid w:val="00E97D75"/>
    <w:rsid w:val="00EA00B2"/>
    <w:rsid w:val="00EA0B35"/>
    <w:rsid w:val="00EA0E29"/>
    <w:rsid w:val="00EA1CEB"/>
    <w:rsid w:val="00EA2363"/>
    <w:rsid w:val="00EA26FC"/>
    <w:rsid w:val="00EA2873"/>
    <w:rsid w:val="00EA295F"/>
    <w:rsid w:val="00EA2CB7"/>
    <w:rsid w:val="00EA2FDD"/>
    <w:rsid w:val="00EA30C5"/>
    <w:rsid w:val="00EA32E7"/>
    <w:rsid w:val="00EA3736"/>
    <w:rsid w:val="00EA3F94"/>
    <w:rsid w:val="00EA4059"/>
    <w:rsid w:val="00EA4C80"/>
    <w:rsid w:val="00EA5BA7"/>
    <w:rsid w:val="00EA5DF3"/>
    <w:rsid w:val="00EA6239"/>
    <w:rsid w:val="00EA674C"/>
    <w:rsid w:val="00EA6A0A"/>
    <w:rsid w:val="00EA6BA9"/>
    <w:rsid w:val="00EA6D09"/>
    <w:rsid w:val="00EA7AC9"/>
    <w:rsid w:val="00EA7E56"/>
    <w:rsid w:val="00EB17A7"/>
    <w:rsid w:val="00EB23DE"/>
    <w:rsid w:val="00EB24AF"/>
    <w:rsid w:val="00EB24FB"/>
    <w:rsid w:val="00EB275E"/>
    <w:rsid w:val="00EB2AC4"/>
    <w:rsid w:val="00EB2D1B"/>
    <w:rsid w:val="00EB2D92"/>
    <w:rsid w:val="00EB2DEE"/>
    <w:rsid w:val="00EB3396"/>
    <w:rsid w:val="00EB37DF"/>
    <w:rsid w:val="00EB38E6"/>
    <w:rsid w:val="00EB3DC6"/>
    <w:rsid w:val="00EB4431"/>
    <w:rsid w:val="00EB4718"/>
    <w:rsid w:val="00EB4887"/>
    <w:rsid w:val="00EB48C6"/>
    <w:rsid w:val="00EB50B2"/>
    <w:rsid w:val="00EB5468"/>
    <w:rsid w:val="00EB5821"/>
    <w:rsid w:val="00EB5C38"/>
    <w:rsid w:val="00EB62D4"/>
    <w:rsid w:val="00EB68FC"/>
    <w:rsid w:val="00EB6ED9"/>
    <w:rsid w:val="00EB7403"/>
    <w:rsid w:val="00EB78D7"/>
    <w:rsid w:val="00EC0159"/>
    <w:rsid w:val="00EC0231"/>
    <w:rsid w:val="00EC0A24"/>
    <w:rsid w:val="00EC0FB0"/>
    <w:rsid w:val="00EC2DA7"/>
    <w:rsid w:val="00EC3529"/>
    <w:rsid w:val="00EC3ACC"/>
    <w:rsid w:val="00EC3AF9"/>
    <w:rsid w:val="00EC3B81"/>
    <w:rsid w:val="00EC4437"/>
    <w:rsid w:val="00EC4BD4"/>
    <w:rsid w:val="00EC4CFC"/>
    <w:rsid w:val="00EC4F07"/>
    <w:rsid w:val="00EC531C"/>
    <w:rsid w:val="00EC6591"/>
    <w:rsid w:val="00EC6AB3"/>
    <w:rsid w:val="00EC6F8F"/>
    <w:rsid w:val="00ED0785"/>
    <w:rsid w:val="00ED0C69"/>
    <w:rsid w:val="00ED12B8"/>
    <w:rsid w:val="00ED1547"/>
    <w:rsid w:val="00ED21F8"/>
    <w:rsid w:val="00ED2451"/>
    <w:rsid w:val="00ED259B"/>
    <w:rsid w:val="00ED2FCC"/>
    <w:rsid w:val="00ED3488"/>
    <w:rsid w:val="00ED34AB"/>
    <w:rsid w:val="00ED37CF"/>
    <w:rsid w:val="00ED3BD4"/>
    <w:rsid w:val="00ED3C48"/>
    <w:rsid w:val="00ED3DDC"/>
    <w:rsid w:val="00ED48E0"/>
    <w:rsid w:val="00ED5684"/>
    <w:rsid w:val="00ED6655"/>
    <w:rsid w:val="00ED6B84"/>
    <w:rsid w:val="00ED6C55"/>
    <w:rsid w:val="00ED6D6B"/>
    <w:rsid w:val="00ED6D87"/>
    <w:rsid w:val="00ED709F"/>
    <w:rsid w:val="00EE0414"/>
    <w:rsid w:val="00EE0598"/>
    <w:rsid w:val="00EE07CE"/>
    <w:rsid w:val="00EE082B"/>
    <w:rsid w:val="00EE0A1E"/>
    <w:rsid w:val="00EE0A5D"/>
    <w:rsid w:val="00EE0A75"/>
    <w:rsid w:val="00EE119E"/>
    <w:rsid w:val="00EE2358"/>
    <w:rsid w:val="00EE2734"/>
    <w:rsid w:val="00EE287E"/>
    <w:rsid w:val="00EE2B05"/>
    <w:rsid w:val="00EE3028"/>
    <w:rsid w:val="00EE309F"/>
    <w:rsid w:val="00EE3543"/>
    <w:rsid w:val="00EE466B"/>
    <w:rsid w:val="00EE4933"/>
    <w:rsid w:val="00EE54CE"/>
    <w:rsid w:val="00EE56FA"/>
    <w:rsid w:val="00EE59E9"/>
    <w:rsid w:val="00EE5DC2"/>
    <w:rsid w:val="00EE5F85"/>
    <w:rsid w:val="00EE6466"/>
    <w:rsid w:val="00EE68F9"/>
    <w:rsid w:val="00EE6AC0"/>
    <w:rsid w:val="00EE6D20"/>
    <w:rsid w:val="00EE72FA"/>
    <w:rsid w:val="00EE76BA"/>
    <w:rsid w:val="00EE770C"/>
    <w:rsid w:val="00EF008E"/>
    <w:rsid w:val="00EF05E2"/>
    <w:rsid w:val="00EF0DF2"/>
    <w:rsid w:val="00EF167D"/>
    <w:rsid w:val="00EF1855"/>
    <w:rsid w:val="00EF24D3"/>
    <w:rsid w:val="00EF25A5"/>
    <w:rsid w:val="00EF25A8"/>
    <w:rsid w:val="00EF2ABB"/>
    <w:rsid w:val="00EF2F57"/>
    <w:rsid w:val="00EF3306"/>
    <w:rsid w:val="00EF33C0"/>
    <w:rsid w:val="00EF42B0"/>
    <w:rsid w:val="00EF43C8"/>
    <w:rsid w:val="00EF47CD"/>
    <w:rsid w:val="00EF47F9"/>
    <w:rsid w:val="00EF52F0"/>
    <w:rsid w:val="00EF62F8"/>
    <w:rsid w:val="00EF6C38"/>
    <w:rsid w:val="00EF71ED"/>
    <w:rsid w:val="00EF74C0"/>
    <w:rsid w:val="00EF7ACD"/>
    <w:rsid w:val="00F004B8"/>
    <w:rsid w:val="00F004E3"/>
    <w:rsid w:val="00F009EA"/>
    <w:rsid w:val="00F01451"/>
    <w:rsid w:val="00F0168F"/>
    <w:rsid w:val="00F01B6E"/>
    <w:rsid w:val="00F02250"/>
    <w:rsid w:val="00F028AC"/>
    <w:rsid w:val="00F02BB8"/>
    <w:rsid w:val="00F02C60"/>
    <w:rsid w:val="00F02EE3"/>
    <w:rsid w:val="00F03A4C"/>
    <w:rsid w:val="00F03FB4"/>
    <w:rsid w:val="00F04365"/>
    <w:rsid w:val="00F04CAB"/>
    <w:rsid w:val="00F04E07"/>
    <w:rsid w:val="00F06B02"/>
    <w:rsid w:val="00F07692"/>
    <w:rsid w:val="00F07790"/>
    <w:rsid w:val="00F079F5"/>
    <w:rsid w:val="00F07BD6"/>
    <w:rsid w:val="00F07ED4"/>
    <w:rsid w:val="00F10001"/>
    <w:rsid w:val="00F103FB"/>
    <w:rsid w:val="00F10E52"/>
    <w:rsid w:val="00F1139B"/>
    <w:rsid w:val="00F11CCB"/>
    <w:rsid w:val="00F120E8"/>
    <w:rsid w:val="00F12885"/>
    <w:rsid w:val="00F12BEE"/>
    <w:rsid w:val="00F12C31"/>
    <w:rsid w:val="00F12E36"/>
    <w:rsid w:val="00F12F79"/>
    <w:rsid w:val="00F131AA"/>
    <w:rsid w:val="00F131F3"/>
    <w:rsid w:val="00F14533"/>
    <w:rsid w:val="00F14DCB"/>
    <w:rsid w:val="00F1506C"/>
    <w:rsid w:val="00F1536B"/>
    <w:rsid w:val="00F15825"/>
    <w:rsid w:val="00F15DEC"/>
    <w:rsid w:val="00F15ECD"/>
    <w:rsid w:val="00F16350"/>
    <w:rsid w:val="00F165A7"/>
    <w:rsid w:val="00F16DBA"/>
    <w:rsid w:val="00F17270"/>
    <w:rsid w:val="00F174A0"/>
    <w:rsid w:val="00F1771B"/>
    <w:rsid w:val="00F17F01"/>
    <w:rsid w:val="00F2058F"/>
    <w:rsid w:val="00F2093B"/>
    <w:rsid w:val="00F20D3E"/>
    <w:rsid w:val="00F2124D"/>
    <w:rsid w:val="00F216F3"/>
    <w:rsid w:val="00F21E2F"/>
    <w:rsid w:val="00F21F1E"/>
    <w:rsid w:val="00F22391"/>
    <w:rsid w:val="00F22BBE"/>
    <w:rsid w:val="00F2314C"/>
    <w:rsid w:val="00F2353C"/>
    <w:rsid w:val="00F23EA1"/>
    <w:rsid w:val="00F24122"/>
    <w:rsid w:val="00F2497C"/>
    <w:rsid w:val="00F24BD0"/>
    <w:rsid w:val="00F251C5"/>
    <w:rsid w:val="00F259BB"/>
    <w:rsid w:val="00F25BCE"/>
    <w:rsid w:val="00F2659F"/>
    <w:rsid w:val="00F268B9"/>
    <w:rsid w:val="00F26D46"/>
    <w:rsid w:val="00F27872"/>
    <w:rsid w:val="00F27BB9"/>
    <w:rsid w:val="00F27D14"/>
    <w:rsid w:val="00F30298"/>
    <w:rsid w:val="00F30D94"/>
    <w:rsid w:val="00F30DAE"/>
    <w:rsid w:val="00F314DB"/>
    <w:rsid w:val="00F31515"/>
    <w:rsid w:val="00F31DD8"/>
    <w:rsid w:val="00F31E5D"/>
    <w:rsid w:val="00F31F4B"/>
    <w:rsid w:val="00F324DA"/>
    <w:rsid w:val="00F3264D"/>
    <w:rsid w:val="00F32753"/>
    <w:rsid w:val="00F32C2C"/>
    <w:rsid w:val="00F32DAB"/>
    <w:rsid w:val="00F33074"/>
    <w:rsid w:val="00F334B1"/>
    <w:rsid w:val="00F340C0"/>
    <w:rsid w:val="00F34597"/>
    <w:rsid w:val="00F34B55"/>
    <w:rsid w:val="00F359B3"/>
    <w:rsid w:val="00F35B60"/>
    <w:rsid w:val="00F3695A"/>
    <w:rsid w:val="00F36BA8"/>
    <w:rsid w:val="00F37536"/>
    <w:rsid w:val="00F377D4"/>
    <w:rsid w:val="00F379F1"/>
    <w:rsid w:val="00F37A0F"/>
    <w:rsid w:val="00F401C3"/>
    <w:rsid w:val="00F4038A"/>
    <w:rsid w:val="00F405E5"/>
    <w:rsid w:val="00F407D1"/>
    <w:rsid w:val="00F41222"/>
    <w:rsid w:val="00F41362"/>
    <w:rsid w:val="00F418F2"/>
    <w:rsid w:val="00F41A1C"/>
    <w:rsid w:val="00F41BE7"/>
    <w:rsid w:val="00F41E4D"/>
    <w:rsid w:val="00F41F8E"/>
    <w:rsid w:val="00F42335"/>
    <w:rsid w:val="00F42668"/>
    <w:rsid w:val="00F42B19"/>
    <w:rsid w:val="00F4357B"/>
    <w:rsid w:val="00F435C7"/>
    <w:rsid w:val="00F43881"/>
    <w:rsid w:val="00F438BF"/>
    <w:rsid w:val="00F43C1E"/>
    <w:rsid w:val="00F44AC7"/>
    <w:rsid w:val="00F44D75"/>
    <w:rsid w:val="00F44EE7"/>
    <w:rsid w:val="00F456EF"/>
    <w:rsid w:val="00F45B6C"/>
    <w:rsid w:val="00F45F26"/>
    <w:rsid w:val="00F462FF"/>
    <w:rsid w:val="00F4641D"/>
    <w:rsid w:val="00F470B6"/>
    <w:rsid w:val="00F47CFA"/>
    <w:rsid w:val="00F50094"/>
    <w:rsid w:val="00F50CBD"/>
    <w:rsid w:val="00F51365"/>
    <w:rsid w:val="00F5217B"/>
    <w:rsid w:val="00F52A58"/>
    <w:rsid w:val="00F53256"/>
    <w:rsid w:val="00F53B51"/>
    <w:rsid w:val="00F53D61"/>
    <w:rsid w:val="00F542EB"/>
    <w:rsid w:val="00F54815"/>
    <w:rsid w:val="00F56091"/>
    <w:rsid w:val="00F56188"/>
    <w:rsid w:val="00F563B5"/>
    <w:rsid w:val="00F56763"/>
    <w:rsid w:val="00F56BF4"/>
    <w:rsid w:val="00F56D28"/>
    <w:rsid w:val="00F57B17"/>
    <w:rsid w:val="00F6019A"/>
    <w:rsid w:val="00F601F0"/>
    <w:rsid w:val="00F60289"/>
    <w:rsid w:val="00F6061D"/>
    <w:rsid w:val="00F613D4"/>
    <w:rsid w:val="00F61836"/>
    <w:rsid w:val="00F61941"/>
    <w:rsid w:val="00F622E7"/>
    <w:rsid w:val="00F62EBE"/>
    <w:rsid w:val="00F62F99"/>
    <w:rsid w:val="00F63051"/>
    <w:rsid w:val="00F63D2A"/>
    <w:rsid w:val="00F63D66"/>
    <w:rsid w:val="00F6439D"/>
    <w:rsid w:val="00F65050"/>
    <w:rsid w:val="00F65089"/>
    <w:rsid w:val="00F65797"/>
    <w:rsid w:val="00F65CEF"/>
    <w:rsid w:val="00F66113"/>
    <w:rsid w:val="00F6620D"/>
    <w:rsid w:val="00F66A0B"/>
    <w:rsid w:val="00F66C32"/>
    <w:rsid w:val="00F66C6B"/>
    <w:rsid w:val="00F67419"/>
    <w:rsid w:val="00F677FE"/>
    <w:rsid w:val="00F67A3E"/>
    <w:rsid w:val="00F67BE1"/>
    <w:rsid w:val="00F67FCE"/>
    <w:rsid w:val="00F7098A"/>
    <w:rsid w:val="00F70B30"/>
    <w:rsid w:val="00F70B87"/>
    <w:rsid w:val="00F7168E"/>
    <w:rsid w:val="00F71729"/>
    <w:rsid w:val="00F718DD"/>
    <w:rsid w:val="00F71CE4"/>
    <w:rsid w:val="00F72296"/>
    <w:rsid w:val="00F72428"/>
    <w:rsid w:val="00F7249F"/>
    <w:rsid w:val="00F734F0"/>
    <w:rsid w:val="00F73998"/>
    <w:rsid w:val="00F73ACF"/>
    <w:rsid w:val="00F73B2F"/>
    <w:rsid w:val="00F7405C"/>
    <w:rsid w:val="00F7409B"/>
    <w:rsid w:val="00F74653"/>
    <w:rsid w:val="00F74970"/>
    <w:rsid w:val="00F74DEC"/>
    <w:rsid w:val="00F7559F"/>
    <w:rsid w:val="00F757FA"/>
    <w:rsid w:val="00F7612B"/>
    <w:rsid w:val="00F76428"/>
    <w:rsid w:val="00F7723B"/>
    <w:rsid w:val="00F77580"/>
    <w:rsid w:val="00F77695"/>
    <w:rsid w:val="00F77AC7"/>
    <w:rsid w:val="00F77F2C"/>
    <w:rsid w:val="00F80D35"/>
    <w:rsid w:val="00F80FE8"/>
    <w:rsid w:val="00F810A4"/>
    <w:rsid w:val="00F81AC3"/>
    <w:rsid w:val="00F81EEF"/>
    <w:rsid w:val="00F82162"/>
    <w:rsid w:val="00F8239E"/>
    <w:rsid w:val="00F823E3"/>
    <w:rsid w:val="00F826D6"/>
    <w:rsid w:val="00F82A49"/>
    <w:rsid w:val="00F83F3C"/>
    <w:rsid w:val="00F84030"/>
    <w:rsid w:val="00F842D6"/>
    <w:rsid w:val="00F848D7"/>
    <w:rsid w:val="00F849AF"/>
    <w:rsid w:val="00F84D23"/>
    <w:rsid w:val="00F84D4B"/>
    <w:rsid w:val="00F86235"/>
    <w:rsid w:val="00F862DF"/>
    <w:rsid w:val="00F86312"/>
    <w:rsid w:val="00F8637D"/>
    <w:rsid w:val="00F865AC"/>
    <w:rsid w:val="00F867E8"/>
    <w:rsid w:val="00F870B2"/>
    <w:rsid w:val="00F8721E"/>
    <w:rsid w:val="00F877DA"/>
    <w:rsid w:val="00F90667"/>
    <w:rsid w:val="00F90709"/>
    <w:rsid w:val="00F90713"/>
    <w:rsid w:val="00F909DC"/>
    <w:rsid w:val="00F911D7"/>
    <w:rsid w:val="00F91F9A"/>
    <w:rsid w:val="00F9238B"/>
    <w:rsid w:val="00F924F5"/>
    <w:rsid w:val="00F93E5E"/>
    <w:rsid w:val="00F93F34"/>
    <w:rsid w:val="00F93F3D"/>
    <w:rsid w:val="00F94101"/>
    <w:rsid w:val="00F94221"/>
    <w:rsid w:val="00F94272"/>
    <w:rsid w:val="00F94F99"/>
    <w:rsid w:val="00F950A1"/>
    <w:rsid w:val="00F95660"/>
    <w:rsid w:val="00F964D5"/>
    <w:rsid w:val="00F9654F"/>
    <w:rsid w:val="00F9691A"/>
    <w:rsid w:val="00F971BB"/>
    <w:rsid w:val="00F977B3"/>
    <w:rsid w:val="00F97DE6"/>
    <w:rsid w:val="00FA06F3"/>
    <w:rsid w:val="00FA0912"/>
    <w:rsid w:val="00FA09DA"/>
    <w:rsid w:val="00FA0A50"/>
    <w:rsid w:val="00FA11B8"/>
    <w:rsid w:val="00FA122A"/>
    <w:rsid w:val="00FA12C5"/>
    <w:rsid w:val="00FA1ABE"/>
    <w:rsid w:val="00FA2269"/>
    <w:rsid w:val="00FA2B5F"/>
    <w:rsid w:val="00FA2C70"/>
    <w:rsid w:val="00FA31AA"/>
    <w:rsid w:val="00FA34BB"/>
    <w:rsid w:val="00FA36D6"/>
    <w:rsid w:val="00FA3717"/>
    <w:rsid w:val="00FA39F2"/>
    <w:rsid w:val="00FA3C85"/>
    <w:rsid w:val="00FA3D26"/>
    <w:rsid w:val="00FA3EB6"/>
    <w:rsid w:val="00FA4229"/>
    <w:rsid w:val="00FA4796"/>
    <w:rsid w:val="00FA4F81"/>
    <w:rsid w:val="00FA508A"/>
    <w:rsid w:val="00FA5C4A"/>
    <w:rsid w:val="00FA5D46"/>
    <w:rsid w:val="00FA5FFD"/>
    <w:rsid w:val="00FA6068"/>
    <w:rsid w:val="00FA6271"/>
    <w:rsid w:val="00FA6323"/>
    <w:rsid w:val="00FA63DE"/>
    <w:rsid w:val="00FA68FE"/>
    <w:rsid w:val="00FA6DF3"/>
    <w:rsid w:val="00FA6F16"/>
    <w:rsid w:val="00FA721E"/>
    <w:rsid w:val="00FA7435"/>
    <w:rsid w:val="00FA743D"/>
    <w:rsid w:val="00FA7C94"/>
    <w:rsid w:val="00FA7E12"/>
    <w:rsid w:val="00FA7ED4"/>
    <w:rsid w:val="00FB058A"/>
    <w:rsid w:val="00FB065E"/>
    <w:rsid w:val="00FB12CE"/>
    <w:rsid w:val="00FB1483"/>
    <w:rsid w:val="00FB1937"/>
    <w:rsid w:val="00FB1C41"/>
    <w:rsid w:val="00FB1E2F"/>
    <w:rsid w:val="00FB25EC"/>
    <w:rsid w:val="00FB26BA"/>
    <w:rsid w:val="00FB28A1"/>
    <w:rsid w:val="00FB2F6E"/>
    <w:rsid w:val="00FB33FF"/>
    <w:rsid w:val="00FB3859"/>
    <w:rsid w:val="00FB3F32"/>
    <w:rsid w:val="00FB4529"/>
    <w:rsid w:val="00FB4748"/>
    <w:rsid w:val="00FB5734"/>
    <w:rsid w:val="00FB58AB"/>
    <w:rsid w:val="00FB5C07"/>
    <w:rsid w:val="00FB5D63"/>
    <w:rsid w:val="00FB5DB5"/>
    <w:rsid w:val="00FB5E95"/>
    <w:rsid w:val="00FB6155"/>
    <w:rsid w:val="00FB61E4"/>
    <w:rsid w:val="00FB63F8"/>
    <w:rsid w:val="00FB6678"/>
    <w:rsid w:val="00FB6983"/>
    <w:rsid w:val="00FB6AEE"/>
    <w:rsid w:val="00FB6B45"/>
    <w:rsid w:val="00FB6DCD"/>
    <w:rsid w:val="00FB6EE0"/>
    <w:rsid w:val="00FB7227"/>
    <w:rsid w:val="00FB739A"/>
    <w:rsid w:val="00FB7515"/>
    <w:rsid w:val="00FB77E7"/>
    <w:rsid w:val="00FB7992"/>
    <w:rsid w:val="00FB7BF6"/>
    <w:rsid w:val="00FB7CAF"/>
    <w:rsid w:val="00FC091C"/>
    <w:rsid w:val="00FC0AC9"/>
    <w:rsid w:val="00FC0EB3"/>
    <w:rsid w:val="00FC1015"/>
    <w:rsid w:val="00FC1376"/>
    <w:rsid w:val="00FC15A3"/>
    <w:rsid w:val="00FC1EAA"/>
    <w:rsid w:val="00FC1F96"/>
    <w:rsid w:val="00FC2A64"/>
    <w:rsid w:val="00FC32E7"/>
    <w:rsid w:val="00FC3829"/>
    <w:rsid w:val="00FC398C"/>
    <w:rsid w:val="00FC3AA5"/>
    <w:rsid w:val="00FC481F"/>
    <w:rsid w:val="00FC4FB6"/>
    <w:rsid w:val="00FC5399"/>
    <w:rsid w:val="00FC542D"/>
    <w:rsid w:val="00FC55D9"/>
    <w:rsid w:val="00FC58BE"/>
    <w:rsid w:val="00FC5D5C"/>
    <w:rsid w:val="00FC5E69"/>
    <w:rsid w:val="00FC5EC5"/>
    <w:rsid w:val="00FC60DE"/>
    <w:rsid w:val="00FC6454"/>
    <w:rsid w:val="00FC660B"/>
    <w:rsid w:val="00FC6921"/>
    <w:rsid w:val="00FC6B0C"/>
    <w:rsid w:val="00FC6F22"/>
    <w:rsid w:val="00FC7AFA"/>
    <w:rsid w:val="00FD079F"/>
    <w:rsid w:val="00FD0BE7"/>
    <w:rsid w:val="00FD0E42"/>
    <w:rsid w:val="00FD1D80"/>
    <w:rsid w:val="00FD1F1E"/>
    <w:rsid w:val="00FD2936"/>
    <w:rsid w:val="00FD2986"/>
    <w:rsid w:val="00FD2A81"/>
    <w:rsid w:val="00FD30D4"/>
    <w:rsid w:val="00FD3233"/>
    <w:rsid w:val="00FD366D"/>
    <w:rsid w:val="00FD36E0"/>
    <w:rsid w:val="00FD3C7A"/>
    <w:rsid w:val="00FD5340"/>
    <w:rsid w:val="00FD572F"/>
    <w:rsid w:val="00FD5BAB"/>
    <w:rsid w:val="00FD6701"/>
    <w:rsid w:val="00FD6BA9"/>
    <w:rsid w:val="00FD6EF8"/>
    <w:rsid w:val="00FD72BF"/>
    <w:rsid w:val="00FD793D"/>
    <w:rsid w:val="00FE0072"/>
    <w:rsid w:val="00FE00E0"/>
    <w:rsid w:val="00FE0711"/>
    <w:rsid w:val="00FE1521"/>
    <w:rsid w:val="00FE18E3"/>
    <w:rsid w:val="00FE252A"/>
    <w:rsid w:val="00FE2897"/>
    <w:rsid w:val="00FE28EF"/>
    <w:rsid w:val="00FE29EA"/>
    <w:rsid w:val="00FE2B01"/>
    <w:rsid w:val="00FE30A3"/>
    <w:rsid w:val="00FE358A"/>
    <w:rsid w:val="00FE3D4A"/>
    <w:rsid w:val="00FE467B"/>
    <w:rsid w:val="00FE483A"/>
    <w:rsid w:val="00FE4936"/>
    <w:rsid w:val="00FE4D4D"/>
    <w:rsid w:val="00FE589B"/>
    <w:rsid w:val="00FE5FF6"/>
    <w:rsid w:val="00FE7CF1"/>
    <w:rsid w:val="00FE7E81"/>
    <w:rsid w:val="00FF0038"/>
    <w:rsid w:val="00FF0129"/>
    <w:rsid w:val="00FF03D2"/>
    <w:rsid w:val="00FF1322"/>
    <w:rsid w:val="00FF1741"/>
    <w:rsid w:val="00FF1860"/>
    <w:rsid w:val="00FF2764"/>
    <w:rsid w:val="00FF2EEA"/>
    <w:rsid w:val="00FF2EF9"/>
    <w:rsid w:val="00FF3395"/>
    <w:rsid w:val="00FF35EF"/>
    <w:rsid w:val="00FF4883"/>
    <w:rsid w:val="00FF5205"/>
    <w:rsid w:val="00FF668A"/>
    <w:rsid w:val="00FF6A6A"/>
    <w:rsid w:val="00FF72C2"/>
    <w:rsid w:val="00FF780E"/>
    <w:rsid w:val="00FF787F"/>
    <w:rsid w:val="00FF7C5F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986DD"/>
  <w15:chartTrackingRefBased/>
  <w15:docId w15:val="{3AB7D7BF-4F09-4B5E-A782-31298359E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7A4"/>
    <w:pPr>
      <w:spacing w:line="276" w:lineRule="auto"/>
    </w:pPr>
    <w:rPr>
      <w:rFonts w:ascii="Arial" w:hAnsi="Arial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34591D"/>
    <w:pPr>
      <w:keepNext/>
      <w:keepLines/>
      <w:spacing w:after="240" w:line="360" w:lineRule="auto"/>
      <w:outlineLvl w:val="0"/>
    </w:pPr>
    <w:rPr>
      <w:rFonts w:eastAsiaTheme="majorEastAsia" w:cstheme="majorBidi"/>
      <w:b/>
      <w:caps/>
      <w:color w:val="2F5496" w:themeColor="accent1" w:themeShade="BF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F069C"/>
    <w:pPr>
      <w:keepNext/>
      <w:keepLines/>
      <w:spacing w:before="40" w:after="240"/>
      <w:outlineLvl w:val="1"/>
    </w:pPr>
    <w:rPr>
      <w:rFonts w:eastAsia="Arial" w:cstheme="majorBidi"/>
      <w:b/>
      <w:caps/>
      <w:color w:val="2F5496" w:themeColor="accent1" w:themeShade="BF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BA07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A079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A079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A07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A079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0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079B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34591D"/>
    <w:rPr>
      <w:rFonts w:ascii="Arial" w:eastAsiaTheme="majorEastAsia" w:hAnsi="Arial" w:cstheme="majorBidi"/>
      <w:b/>
      <w:caps/>
      <w:color w:val="2F5496" w:themeColor="accent1" w:themeShade="BF"/>
      <w:sz w:val="24"/>
      <w:szCs w:val="32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8F069C"/>
    <w:rPr>
      <w:rFonts w:ascii="Arial" w:eastAsia="Arial" w:hAnsi="Arial" w:cstheme="majorBidi"/>
      <w:b/>
      <w:caps/>
      <w:color w:val="2F5496" w:themeColor="accent1" w:themeShade="BF"/>
      <w:szCs w:val="26"/>
      <w:lang w:val="es-ES_tradnl"/>
    </w:rPr>
  </w:style>
  <w:style w:type="paragraph" w:customStyle="1" w:styleId="BESSharepoint">
    <w:name w:val="BES Share point"/>
    <w:basedOn w:val="Ttulo1"/>
    <w:link w:val="BESSharepointCar"/>
    <w:rsid w:val="005766B1"/>
  </w:style>
  <w:style w:type="character" w:customStyle="1" w:styleId="BESSharepointCar">
    <w:name w:val="BES Share point Car"/>
    <w:basedOn w:val="Ttulo1Car"/>
    <w:link w:val="BESSharepoint"/>
    <w:rsid w:val="005766B1"/>
    <w:rPr>
      <w:rFonts w:ascii="Arial" w:eastAsiaTheme="majorEastAsia" w:hAnsi="Arial" w:cstheme="majorBidi"/>
      <w:b/>
      <w:caps/>
      <w:color w:val="2F5496" w:themeColor="accent1" w:themeShade="BF"/>
      <w:sz w:val="24"/>
      <w:szCs w:val="32"/>
      <w:lang w:val="es-ES_tradnl"/>
    </w:rPr>
  </w:style>
  <w:style w:type="paragraph" w:customStyle="1" w:styleId="Piedeayudavisual">
    <w:name w:val="Pie de ayuda visual"/>
    <w:basedOn w:val="Normal"/>
    <w:link w:val="PiedeayudavisualCar"/>
    <w:autoRedefine/>
    <w:qFormat/>
    <w:rsid w:val="00524266"/>
    <w:pPr>
      <w:spacing w:after="240" w:line="240" w:lineRule="auto"/>
    </w:pPr>
    <w:rPr>
      <w:rFonts w:eastAsia="Batang" w:cs="Arial"/>
      <w:sz w:val="16"/>
    </w:rPr>
  </w:style>
  <w:style w:type="character" w:customStyle="1" w:styleId="PiedeayudavisualCar">
    <w:name w:val="Pie de ayuda visual Car"/>
    <w:basedOn w:val="Fuentedeprrafopredeter"/>
    <w:link w:val="Piedeayudavisual"/>
    <w:rsid w:val="00524266"/>
    <w:rPr>
      <w:rFonts w:ascii="Arial" w:eastAsia="Batang" w:hAnsi="Arial" w:cs="Arial"/>
      <w:sz w:val="16"/>
      <w:lang w:val="es-ES_tradnl"/>
    </w:rPr>
  </w:style>
  <w:style w:type="paragraph" w:customStyle="1" w:styleId="Ttuloayudavisual">
    <w:name w:val="Título ayuda visual"/>
    <w:basedOn w:val="Normal"/>
    <w:link w:val="TtuloayudavisualCar"/>
    <w:autoRedefine/>
    <w:qFormat/>
    <w:rsid w:val="00BA56AE"/>
    <w:pPr>
      <w:spacing w:after="0" w:line="240" w:lineRule="auto"/>
      <w:jc w:val="center"/>
    </w:pPr>
    <w:rPr>
      <w:rFonts w:eastAsia="Batang" w:cs="Arial"/>
      <w:color w:val="000000" w:themeColor="text1"/>
      <w:sz w:val="20"/>
      <w:szCs w:val="18"/>
    </w:rPr>
  </w:style>
  <w:style w:type="character" w:customStyle="1" w:styleId="TtuloayudavisualCar">
    <w:name w:val="Título ayuda visual Car"/>
    <w:basedOn w:val="Fuentedeprrafopredeter"/>
    <w:link w:val="Ttuloayudavisual"/>
    <w:rsid w:val="00BA56AE"/>
    <w:rPr>
      <w:rFonts w:ascii="Arial" w:eastAsia="Batang" w:hAnsi="Arial" w:cs="Arial"/>
      <w:color w:val="000000" w:themeColor="text1"/>
      <w:sz w:val="20"/>
      <w:szCs w:val="18"/>
      <w:lang w:val="es-ES_tradnl"/>
    </w:rPr>
  </w:style>
  <w:style w:type="paragraph" w:styleId="Sinespaciado">
    <w:name w:val="No Spacing"/>
    <w:link w:val="SinespaciadoCar"/>
    <w:uiPriority w:val="1"/>
    <w:qFormat/>
    <w:rsid w:val="00B12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B12E9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stilo11">
    <w:name w:val="Estilo11"/>
    <w:basedOn w:val="Normal"/>
    <w:link w:val="Estilo11Car"/>
    <w:autoRedefine/>
    <w:qFormat/>
    <w:rsid w:val="002A7706"/>
    <w:pPr>
      <w:shd w:val="clear" w:color="auto" w:fill="FFFFFF"/>
      <w:spacing w:after="0" w:line="240" w:lineRule="auto"/>
      <w:jc w:val="both"/>
    </w:pPr>
    <w:rPr>
      <w:rFonts w:eastAsia="Batang" w:cs="Arial"/>
    </w:rPr>
  </w:style>
  <w:style w:type="character" w:customStyle="1" w:styleId="Estilo11Car">
    <w:name w:val="Estilo11 Car"/>
    <w:basedOn w:val="Fuentedeprrafopredeter"/>
    <w:link w:val="Estilo11"/>
    <w:rsid w:val="002A7706"/>
    <w:rPr>
      <w:rFonts w:ascii="Arial" w:eastAsia="Batang" w:hAnsi="Arial" w:cs="Arial"/>
      <w:shd w:val="clear" w:color="auto" w:fill="FFFFFF"/>
      <w:lang w:val="es-ES_tradnl"/>
    </w:rPr>
  </w:style>
  <w:style w:type="character" w:styleId="Textoennegrita">
    <w:name w:val="Strong"/>
    <w:basedOn w:val="Fuentedeprrafopredeter"/>
    <w:uiPriority w:val="22"/>
    <w:qFormat/>
    <w:rsid w:val="0072332D"/>
    <w:rPr>
      <w:b/>
      <w:bCs/>
    </w:rPr>
  </w:style>
  <w:style w:type="table" w:styleId="Tablaconcuadrcula">
    <w:name w:val="Table Grid"/>
    <w:basedOn w:val="Tablanormal"/>
    <w:uiPriority w:val="39"/>
    <w:rsid w:val="00CA1F88"/>
    <w:pPr>
      <w:spacing w:after="0" w:line="240" w:lineRule="auto"/>
    </w:pPr>
    <w:rPr>
      <w:rFonts w:ascii="Arial" w:eastAsia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D3DDC"/>
    <w:pPr>
      <w:ind w:left="720"/>
      <w:contextualSpacing/>
    </w:pPr>
  </w:style>
  <w:style w:type="paragraph" w:styleId="Revisin">
    <w:name w:val="Revision"/>
    <w:hidden/>
    <w:uiPriority w:val="99"/>
    <w:semiHidden/>
    <w:rsid w:val="00EE59E9"/>
    <w:pPr>
      <w:spacing w:after="0" w:line="240" w:lineRule="auto"/>
    </w:pPr>
    <w:rPr>
      <w:rFonts w:ascii="Arial" w:hAnsi="Arial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2.xml"/><Relationship Id="rId5" Type="http://schemas.openxmlformats.org/officeDocument/2006/relationships/numbering" Target="numbering.xml"/><Relationship Id="rId10" Type="http://schemas.openxmlformats.org/officeDocument/2006/relationships/chart" Target="charts/chart1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inssalud-my.sharepoint.com/personal/arodriguezr_ins_gov_co/Documents/RUTINA%20DENGUE%202023/1.%20DEPURACI&#211;N%20DENGUE/SE%2025_2023/PLANTILLA%202023%20SE%2025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inssalud-my.sharepoint.com/personal/arodriguezr_ins_gov_co/Documents/RUTINA%20DENGUE%202023/1.%20DEPURACI&#211;N%20DENGUE/SE%2025_2023/PLANTILLA%202023%20SE%2025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378428511100063E-2"/>
          <c:y val="4.4029626166859015E-2"/>
          <c:w val="0.92358070821595351"/>
          <c:h val="0.65854118884490087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Pt>
            <c:idx val="16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9C90-434C-BEF5-8FF57058E572}"/>
              </c:ext>
            </c:extLst>
          </c:dPt>
          <c:dPt>
            <c:idx val="18"/>
            <c:invertIfNegative val="0"/>
            <c:bubble3D val="0"/>
            <c:spPr>
              <a:solidFill>
                <a:schemeClr val="tx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9C90-434C-BEF5-8FF57058E572}"/>
              </c:ext>
            </c:extLst>
          </c:dPt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600" b="0" i="0" u="none" strike="noStrike" kern="1200" baseline="0">
                    <a:solidFill>
                      <a:sysClr val="windowText" lastClr="000000"/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'[PLANTILLA 2023 SE 25.xlsx]Incidencia'!$L$2:$L$39</c:f>
              <c:strCache>
                <c:ptCount val="38"/>
                <c:pt idx="0">
                  <c:v>Amazonas</c:v>
                </c:pt>
                <c:pt idx="1">
                  <c:v>Vaupés</c:v>
                </c:pt>
                <c:pt idx="2">
                  <c:v>Meta</c:v>
                </c:pt>
                <c:pt idx="3">
                  <c:v>Guaviare</c:v>
                </c:pt>
                <c:pt idx="4">
                  <c:v>Tolima</c:v>
                </c:pt>
                <c:pt idx="5">
                  <c:v>Caquetá</c:v>
                </c:pt>
                <c:pt idx="6">
                  <c:v>Putumayo</c:v>
                </c:pt>
                <c:pt idx="7">
                  <c:v>Cundinamarca</c:v>
                </c:pt>
                <c:pt idx="8">
                  <c:v>Casanare</c:v>
                </c:pt>
                <c:pt idx="9">
                  <c:v>Arauca</c:v>
                </c:pt>
                <c:pt idx="10">
                  <c:v>La Guajira</c:v>
                </c:pt>
                <c:pt idx="11">
                  <c:v>Sucre</c:v>
                </c:pt>
                <c:pt idx="12">
                  <c:v>Nariño</c:v>
                </c:pt>
                <c:pt idx="13">
                  <c:v>Cartagena</c:v>
                </c:pt>
                <c:pt idx="14">
                  <c:v>Bolívar</c:v>
                </c:pt>
                <c:pt idx="15">
                  <c:v>Guainía</c:v>
                </c:pt>
                <c:pt idx="16">
                  <c:v>Cesar</c:v>
                </c:pt>
                <c:pt idx="17">
                  <c:v>Huila</c:v>
                </c:pt>
                <c:pt idx="18">
                  <c:v>Colombia</c:v>
                </c:pt>
                <c:pt idx="19">
                  <c:v>Chocó</c:v>
                </c:pt>
                <c:pt idx="20">
                  <c:v>Barranquilla</c:v>
                </c:pt>
                <c:pt idx="21">
                  <c:v>Santander</c:v>
                </c:pt>
                <c:pt idx="22">
                  <c:v>Boyacá</c:v>
                </c:pt>
                <c:pt idx="23">
                  <c:v>Norte de Santander</c:v>
                </c:pt>
                <c:pt idx="24">
                  <c:v>Cali</c:v>
                </c:pt>
                <c:pt idx="25">
                  <c:v>Atlántico</c:v>
                </c:pt>
                <c:pt idx="26">
                  <c:v>Vichada</c:v>
                </c:pt>
                <c:pt idx="27">
                  <c:v>Córdoba</c:v>
                </c:pt>
                <c:pt idx="28">
                  <c:v>Valle del Cauca</c:v>
                </c:pt>
                <c:pt idx="29">
                  <c:v>Cauca</c:v>
                </c:pt>
                <c:pt idx="30">
                  <c:v>Magdalena</c:v>
                </c:pt>
                <c:pt idx="31">
                  <c:v>Buenaventura</c:v>
                </c:pt>
                <c:pt idx="32">
                  <c:v>Santa Marta</c:v>
                </c:pt>
                <c:pt idx="33">
                  <c:v>Quindío</c:v>
                </c:pt>
                <c:pt idx="34">
                  <c:v>Antioquia</c:v>
                </c:pt>
                <c:pt idx="35">
                  <c:v>Archipiélago de San Andrés</c:v>
                </c:pt>
                <c:pt idx="36">
                  <c:v>Risaralda</c:v>
                </c:pt>
                <c:pt idx="37">
                  <c:v>Caldas</c:v>
                </c:pt>
              </c:strCache>
            </c:strRef>
          </c:cat>
          <c:val>
            <c:numRef>
              <c:f>'[PLANTILLA 2023 SE 25.xlsx]Incidencia'!$O$2:$O$39</c:f>
              <c:numCache>
                <c:formatCode>0.0</c:formatCode>
                <c:ptCount val="38"/>
                <c:pt idx="0">
                  <c:v>1895.6658655838237</c:v>
                </c:pt>
                <c:pt idx="1">
                  <c:v>1574.1656921831429</c:v>
                </c:pt>
                <c:pt idx="2">
                  <c:v>1149.9000828581177</c:v>
                </c:pt>
                <c:pt idx="3">
                  <c:v>796.28001108286855</c:v>
                </c:pt>
                <c:pt idx="4">
                  <c:v>406.36552984155793</c:v>
                </c:pt>
                <c:pt idx="5">
                  <c:v>338.29287392325762</c:v>
                </c:pt>
                <c:pt idx="6">
                  <c:v>303.96318933974766</c:v>
                </c:pt>
                <c:pt idx="7">
                  <c:v>263.18729041332602</c:v>
                </c:pt>
                <c:pt idx="8">
                  <c:v>239.83916380795299</c:v>
                </c:pt>
                <c:pt idx="9">
                  <c:v>233.09868948208384</c:v>
                </c:pt>
                <c:pt idx="10">
                  <c:v>210.21368510375686</c:v>
                </c:pt>
                <c:pt idx="11">
                  <c:v>206.20147066385562</c:v>
                </c:pt>
                <c:pt idx="12">
                  <c:v>168.02968693683403</c:v>
                </c:pt>
                <c:pt idx="13">
                  <c:v>161.7007966560351</c:v>
                </c:pt>
                <c:pt idx="14">
                  <c:v>159.89942877307513</c:v>
                </c:pt>
                <c:pt idx="15">
                  <c:v>154.84602634563379</c:v>
                </c:pt>
                <c:pt idx="16">
                  <c:v>146.38178366650592</c:v>
                </c:pt>
                <c:pt idx="17">
                  <c:v>144.34764991896273</c:v>
                </c:pt>
                <c:pt idx="18">
                  <c:v>143.4126449103874</c:v>
                </c:pt>
                <c:pt idx="19">
                  <c:v>142.11925028973346</c:v>
                </c:pt>
                <c:pt idx="20">
                  <c:v>134.46597797319217</c:v>
                </c:pt>
                <c:pt idx="21">
                  <c:v>131.0488873250238</c:v>
                </c:pt>
                <c:pt idx="22">
                  <c:v>124.49177515013615</c:v>
                </c:pt>
                <c:pt idx="23">
                  <c:v>121.40116580238508</c:v>
                </c:pt>
                <c:pt idx="24">
                  <c:v>102.19618774461212</c:v>
                </c:pt>
                <c:pt idx="25">
                  <c:v>91.790252883827833</c:v>
                </c:pt>
                <c:pt idx="26">
                  <c:v>85.508473112335679</c:v>
                </c:pt>
                <c:pt idx="27">
                  <c:v>85.322026010290358</c:v>
                </c:pt>
                <c:pt idx="28">
                  <c:v>57.137479152020148</c:v>
                </c:pt>
                <c:pt idx="29">
                  <c:v>56.633302599219142</c:v>
                </c:pt>
                <c:pt idx="30">
                  <c:v>44.784179768966318</c:v>
                </c:pt>
                <c:pt idx="31">
                  <c:v>44.65657195883994</c:v>
                </c:pt>
                <c:pt idx="32">
                  <c:v>43.990579136879497</c:v>
                </c:pt>
                <c:pt idx="33">
                  <c:v>36.366427391412408</c:v>
                </c:pt>
                <c:pt idx="34">
                  <c:v>30.678140558963754</c:v>
                </c:pt>
                <c:pt idx="35">
                  <c:v>27.579046413912817</c:v>
                </c:pt>
                <c:pt idx="36">
                  <c:v>6.6490645195192943</c:v>
                </c:pt>
                <c:pt idx="37">
                  <c:v>6.2060508996271366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C90-434C-BEF5-8FF57058E5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27942527"/>
        <c:axId val="21483504"/>
      </c:barChart>
      <c:catAx>
        <c:axId val="127942527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600" b="0" i="0" u="none" strike="noStrike" kern="1200" baseline="0">
                    <a:solidFill>
                      <a:sysClr val="windowText" lastClr="000000"/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r>
                  <a:rPr lang="es-CO"/>
                  <a:t>Entidad territorial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600" b="0" i="0" u="none" strike="noStrike" kern="1200" baseline="0">
                  <a:solidFill>
                    <a:sysClr val="windowText" lastClr="000000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CO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6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s-CO"/>
          </a:p>
        </c:txPr>
        <c:crossAx val="21483504"/>
        <c:crosses val="autoZero"/>
        <c:auto val="1"/>
        <c:lblAlgn val="ctr"/>
        <c:lblOffset val="100"/>
        <c:noMultiLvlLbl val="0"/>
      </c:catAx>
      <c:valAx>
        <c:axId val="21483504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600" b="0" i="0" u="none" strike="noStrike" kern="1200" baseline="0">
                    <a:solidFill>
                      <a:sysClr val="windowText" lastClr="000000"/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r>
                  <a:rPr lang="en-US"/>
                  <a:t>Incidencia (casos por 100 000 habitantes en riesgo)</a:t>
                </a:r>
              </a:p>
            </c:rich>
          </c:tx>
          <c:layout>
            <c:manualLayout>
              <c:xMode val="edge"/>
              <c:yMode val="edge"/>
              <c:x val="0"/>
              <c:y val="0.1033053828060591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600" b="0" i="0" u="none" strike="noStrike" kern="1200" baseline="0">
                  <a:solidFill>
                    <a:sysClr val="windowText" lastClr="000000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CO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s-CO"/>
          </a:p>
        </c:txPr>
        <c:crossAx val="12794252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600">
          <a:solidFill>
            <a:sysClr val="windowText" lastClr="000000"/>
          </a:solidFill>
          <a:latin typeface="Arial Narrow" panose="020B0606020202030204" pitchFamily="34" charset="0"/>
        </a:defRPr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16622743949267E-2"/>
          <c:y val="2.3169398086218516E-2"/>
          <c:w val="0.91552957611459462"/>
          <c:h val="0.77441465641057194"/>
        </c:manualLayout>
      </c:layout>
      <c:lineChart>
        <c:grouping val="standard"/>
        <c:varyColors val="0"/>
        <c:ser>
          <c:idx val="0"/>
          <c:order val="0"/>
          <c:tx>
            <c:strRef>
              <c:f>'[PLANTILLA 2023 SE 25.xlsx]Canal endémico 2023_4'!$A$17</c:f>
              <c:strCache>
                <c:ptCount val="1"/>
                <c:pt idx="0">
                  <c:v>Valor esperado de casos</c:v>
                </c:pt>
              </c:strCache>
            </c:strRef>
          </c:tx>
          <c:spPr>
            <a:ln w="22225" cap="rnd">
              <a:solidFill>
                <a:srgbClr val="FFC000"/>
              </a:solidFill>
              <a:round/>
            </a:ln>
            <a:effectLst/>
          </c:spPr>
          <c:marker>
            <c:symbol val="none"/>
          </c:marker>
          <c:val>
            <c:numRef>
              <c:f>'[PLANTILLA 2023 SE 25.xlsx]Canal endémico 2023_4'!$B$17:$BA$17</c:f>
              <c:numCache>
                <c:formatCode>0</c:formatCode>
                <c:ptCount val="52"/>
                <c:pt idx="0">
                  <c:v>1016.5182129827525</c:v>
                </c:pt>
                <c:pt idx="1">
                  <c:v>981.78404803978549</c:v>
                </c:pt>
                <c:pt idx="2">
                  <c:v>976.22126016999334</c:v>
                </c:pt>
                <c:pt idx="3">
                  <c:v>912.57877292904891</c:v>
                </c:pt>
                <c:pt idx="4">
                  <c:v>955.00177943595793</c:v>
                </c:pt>
                <c:pt idx="5">
                  <c:v>918.20179192341811</c:v>
                </c:pt>
                <c:pt idx="6">
                  <c:v>895.53131449809246</c:v>
                </c:pt>
                <c:pt idx="7">
                  <c:v>857.12599727940426</c:v>
                </c:pt>
                <c:pt idx="8">
                  <c:v>884.71321591227309</c:v>
                </c:pt>
                <c:pt idx="9">
                  <c:v>852.86620584287982</c:v>
                </c:pt>
                <c:pt idx="10">
                  <c:v>819.35689831398952</c:v>
                </c:pt>
                <c:pt idx="11">
                  <c:v>800.21306230206187</c:v>
                </c:pt>
                <c:pt idx="12">
                  <c:v>798.0822338007606</c:v>
                </c:pt>
                <c:pt idx="13">
                  <c:v>855.24239998202597</c:v>
                </c:pt>
                <c:pt idx="14">
                  <c:v>811.72906854939936</c:v>
                </c:pt>
                <c:pt idx="15">
                  <c:v>850.0582579856881</c:v>
                </c:pt>
                <c:pt idx="16">
                  <c:v>847.10574130195721</c:v>
                </c:pt>
                <c:pt idx="17">
                  <c:v>875.02288957222231</c:v>
                </c:pt>
                <c:pt idx="18">
                  <c:v>925.26973505956016</c:v>
                </c:pt>
                <c:pt idx="19">
                  <c:v>972.52350241074669</c:v>
                </c:pt>
                <c:pt idx="20">
                  <c:v>987.85177357126588</c:v>
                </c:pt>
                <c:pt idx="21">
                  <c:v>996.36921360005999</c:v>
                </c:pt>
                <c:pt idx="22">
                  <c:v>971.35298360336765</c:v>
                </c:pt>
                <c:pt idx="23">
                  <c:v>897.70862627403039</c:v>
                </c:pt>
                <c:pt idx="24">
                  <c:v>878.98605905671684</c:v>
                </c:pt>
                <c:pt idx="25">
                  <c:v>880.70906068045679</c:v>
                </c:pt>
                <c:pt idx="26">
                  <c:v>939.28990215762281</c:v>
                </c:pt>
                <c:pt idx="27">
                  <c:v>921.49467818210951</c:v>
                </c:pt>
                <c:pt idx="28">
                  <c:v>895.66638199133001</c:v>
                </c:pt>
                <c:pt idx="29">
                  <c:v>853.99808746108442</c:v>
                </c:pt>
                <c:pt idx="30">
                  <c:v>873.97192080202592</c:v>
                </c:pt>
                <c:pt idx="31">
                  <c:v>871.18652598905214</c:v>
                </c:pt>
                <c:pt idx="32">
                  <c:v>863.06093132127626</c:v>
                </c:pt>
                <c:pt idx="33">
                  <c:v>888.95827825292201</c:v>
                </c:pt>
                <c:pt idx="34">
                  <c:v>910.98916221632692</c:v>
                </c:pt>
                <c:pt idx="35">
                  <c:v>903.74513575544302</c:v>
                </c:pt>
                <c:pt idx="36">
                  <c:v>888.13867331714698</c:v>
                </c:pt>
                <c:pt idx="37">
                  <c:v>982.82211616205279</c:v>
                </c:pt>
                <c:pt idx="38">
                  <c:v>975.48905174685831</c:v>
                </c:pt>
                <c:pt idx="39">
                  <c:v>1016.0411409706404</c:v>
                </c:pt>
                <c:pt idx="40">
                  <c:v>1013.3168339244343</c:v>
                </c:pt>
                <c:pt idx="41">
                  <c:v>1073.6874640549051</c:v>
                </c:pt>
                <c:pt idx="42">
                  <c:v>1066.5100605092118</c:v>
                </c:pt>
                <c:pt idx="43">
                  <c:v>1131.1671718448627</c:v>
                </c:pt>
                <c:pt idx="44">
                  <c:v>1194.4729770237307</c:v>
                </c:pt>
                <c:pt idx="45">
                  <c:v>1217.4723189111694</c:v>
                </c:pt>
                <c:pt idx="46">
                  <c:v>1236.9113681333365</c:v>
                </c:pt>
                <c:pt idx="47">
                  <c:v>1207.607716572365</c:v>
                </c:pt>
                <c:pt idx="48">
                  <c:v>1273.5757992748274</c:v>
                </c:pt>
                <c:pt idx="49">
                  <c:v>1308.6286423261031</c:v>
                </c:pt>
                <c:pt idx="50">
                  <c:v>1275.594588933282</c:v>
                </c:pt>
                <c:pt idx="51">
                  <c:v>1082.1277339174574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4AD-4DDF-A091-10EEBBF48251}"/>
            </c:ext>
          </c:extLst>
        </c:ser>
        <c:ser>
          <c:idx val="3"/>
          <c:order val="3"/>
          <c:tx>
            <c:strRef>
              <c:f>'[PLANTILLA 2023 SE 25.xlsx]Canal endémico 2023_4'!$A$20</c:f>
              <c:strCache>
                <c:ptCount val="1"/>
                <c:pt idx="0">
                  <c:v>limite inferior de casos (IC95%)</c:v>
                </c:pt>
              </c:strCache>
            </c:strRef>
          </c:tx>
          <c:spPr>
            <a:ln w="2222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val>
            <c:numRef>
              <c:f>'[PLANTILLA 2023 SE 25.xlsx]Canal endémico 2023_4'!$B$20:$BA$20</c:f>
              <c:numCache>
                <c:formatCode>0</c:formatCode>
                <c:ptCount val="52"/>
                <c:pt idx="0">
                  <c:v>245.05997460021399</c:v>
                </c:pt>
                <c:pt idx="1">
                  <c:v>352.2418154718714</c:v>
                </c:pt>
                <c:pt idx="2">
                  <c:v>371.99270766521477</c:v>
                </c:pt>
                <c:pt idx="3">
                  <c:v>300.17623151088844</c:v>
                </c:pt>
                <c:pt idx="4">
                  <c:v>248.24976622948247</c:v>
                </c:pt>
                <c:pt idx="5">
                  <c:v>254.83172816197771</c:v>
                </c:pt>
                <c:pt idx="6">
                  <c:v>184.51425950508008</c:v>
                </c:pt>
                <c:pt idx="7">
                  <c:v>135.45247382564617</c:v>
                </c:pt>
                <c:pt idx="8">
                  <c:v>118.51947184915457</c:v>
                </c:pt>
                <c:pt idx="9">
                  <c:v>104.6919213112393</c:v>
                </c:pt>
                <c:pt idx="10">
                  <c:v>44.490285658033713</c:v>
                </c:pt>
                <c:pt idx="11">
                  <c:v>116.42430843967657</c:v>
                </c:pt>
                <c:pt idx="12">
                  <c:v>104.2188580261369</c:v>
                </c:pt>
                <c:pt idx="13">
                  <c:v>110.106440214038</c:v>
                </c:pt>
                <c:pt idx="14">
                  <c:v>170.42181975107496</c:v>
                </c:pt>
                <c:pt idx="15">
                  <c:v>233.76966923728071</c:v>
                </c:pt>
                <c:pt idx="16">
                  <c:v>177.27702379151788</c:v>
                </c:pt>
                <c:pt idx="17">
                  <c:v>246.67373471089093</c:v>
                </c:pt>
                <c:pt idx="18">
                  <c:v>301.95181442395562</c:v>
                </c:pt>
                <c:pt idx="19">
                  <c:v>403.64390753851387</c:v>
                </c:pt>
                <c:pt idx="20">
                  <c:v>420.15242102290472</c:v>
                </c:pt>
                <c:pt idx="21">
                  <c:v>488.30852788622462</c:v>
                </c:pt>
                <c:pt idx="22">
                  <c:v>503.8304464365678</c:v>
                </c:pt>
                <c:pt idx="23">
                  <c:v>461.74585378394312</c:v>
                </c:pt>
                <c:pt idx="24">
                  <c:v>453.64438695916289</c:v>
                </c:pt>
                <c:pt idx="25">
                  <c:v>409.79293671180557</c:v>
                </c:pt>
                <c:pt idx="26">
                  <c:v>484.79872368228388</c:v>
                </c:pt>
                <c:pt idx="27">
                  <c:v>459.67077407309637</c:v>
                </c:pt>
                <c:pt idx="28">
                  <c:v>434.46387389973961</c:v>
                </c:pt>
                <c:pt idx="29">
                  <c:v>463.13719573399271</c:v>
                </c:pt>
                <c:pt idx="30">
                  <c:v>438.80376283634638</c:v>
                </c:pt>
                <c:pt idx="31">
                  <c:v>502.11944207441962</c:v>
                </c:pt>
                <c:pt idx="32">
                  <c:v>424.20222093027132</c:v>
                </c:pt>
                <c:pt idx="33">
                  <c:v>484.25760489466018</c:v>
                </c:pt>
                <c:pt idx="34">
                  <c:v>478.13421202704382</c:v>
                </c:pt>
                <c:pt idx="35">
                  <c:v>429.35069822252581</c:v>
                </c:pt>
                <c:pt idx="36">
                  <c:v>408.89292519214268</c:v>
                </c:pt>
                <c:pt idx="37">
                  <c:v>482.6113952951203</c:v>
                </c:pt>
                <c:pt idx="38">
                  <c:v>463.86117517443796</c:v>
                </c:pt>
                <c:pt idx="39">
                  <c:v>492.62679993511335</c:v>
                </c:pt>
                <c:pt idx="40">
                  <c:v>456.10804673115263</c:v>
                </c:pt>
                <c:pt idx="41">
                  <c:v>463.77901007619209</c:v>
                </c:pt>
                <c:pt idx="42">
                  <c:v>437.68058321156661</c:v>
                </c:pt>
                <c:pt idx="43">
                  <c:v>391.71470829866985</c:v>
                </c:pt>
                <c:pt idx="44">
                  <c:v>438.85519423944311</c:v>
                </c:pt>
                <c:pt idx="45">
                  <c:v>379.55742182173788</c:v>
                </c:pt>
                <c:pt idx="46">
                  <c:v>455.58678855113453</c:v>
                </c:pt>
                <c:pt idx="47">
                  <c:v>441.96375379536971</c:v>
                </c:pt>
                <c:pt idx="48">
                  <c:v>436.77246410844305</c:v>
                </c:pt>
                <c:pt idx="49">
                  <c:v>489.82793451366695</c:v>
                </c:pt>
                <c:pt idx="50">
                  <c:v>513.27984001176026</c:v>
                </c:pt>
                <c:pt idx="51">
                  <c:v>262.67648961021462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4AD-4DDF-A091-10EEBBF48251}"/>
            </c:ext>
          </c:extLst>
        </c:ser>
        <c:ser>
          <c:idx val="4"/>
          <c:order val="4"/>
          <c:tx>
            <c:strRef>
              <c:f>'[PLANTILLA 2023 SE 25.xlsx]Canal endémico 2023_4'!$A$21</c:f>
              <c:strCache>
                <c:ptCount val="1"/>
                <c:pt idx="0">
                  <c:v>Límite superior de casos (IC95%)</c:v>
                </c:pt>
              </c:strCache>
            </c:strRef>
          </c:tx>
          <c:spPr>
            <a:ln w="22225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val>
            <c:numRef>
              <c:f>'[PLANTILLA 2023 SE 25.xlsx]Canal endémico 2023_4'!$B$21:$BA$21</c:f>
              <c:numCache>
                <c:formatCode>0</c:formatCode>
                <c:ptCount val="52"/>
                <c:pt idx="0">
                  <c:v>1787.976451365291</c:v>
                </c:pt>
                <c:pt idx="1">
                  <c:v>1611.3262806076996</c:v>
                </c:pt>
                <c:pt idx="2">
                  <c:v>1580.4498126747719</c:v>
                </c:pt>
                <c:pt idx="3">
                  <c:v>1524.9813143472093</c:v>
                </c:pt>
                <c:pt idx="4">
                  <c:v>1661.7537926424334</c:v>
                </c:pt>
                <c:pt idx="5">
                  <c:v>1581.5718556848585</c:v>
                </c:pt>
                <c:pt idx="6">
                  <c:v>1606.5483694911049</c:v>
                </c:pt>
                <c:pt idx="7">
                  <c:v>1578.7995207331624</c:v>
                </c:pt>
                <c:pt idx="8">
                  <c:v>1650.9069599753916</c:v>
                </c:pt>
                <c:pt idx="9">
                  <c:v>1601.0404903745202</c:v>
                </c:pt>
                <c:pt idx="10">
                  <c:v>1594.2235109699454</c:v>
                </c:pt>
                <c:pt idx="11">
                  <c:v>1484.0018161644471</c:v>
                </c:pt>
                <c:pt idx="12">
                  <c:v>1491.9456095753844</c:v>
                </c:pt>
                <c:pt idx="13">
                  <c:v>1600.3783597500139</c:v>
                </c:pt>
                <c:pt idx="14">
                  <c:v>1453.0363173477238</c:v>
                </c:pt>
                <c:pt idx="15">
                  <c:v>1466.3468467340954</c:v>
                </c:pt>
                <c:pt idx="16">
                  <c:v>1516.9344588123965</c:v>
                </c:pt>
                <c:pt idx="17">
                  <c:v>1503.3720444335536</c:v>
                </c:pt>
                <c:pt idx="18">
                  <c:v>1548.5876556951648</c:v>
                </c:pt>
                <c:pt idx="19">
                  <c:v>1541.4030972829796</c:v>
                </c:pt>
                <c:pt idx="20">
                  <c:v>1555.551126119627</c:v>
                </c:pt>
                <c:pt idx="21">
                  <c:v>1504.4298993138955</c:v>
                </c:pt>
                <c:pt idx="22">
                  <c:v>1438.8755207701674</c:v>
                </c:pt>
                <c:pt idx="23">
                  <c:v>1333.6713987641176</c:v>
                </c:pt>
                <c:pt idx="24">
                  <c:v>1304.3277311542709</c:v>
                </c:pt>
                <c:pt idx="25">
                  <c:v>1351.625184649108</c:v>
                </c:pt>
                <c:pt idx="26">
                  <c:v>1393.7810806329617</c:v>
                </c:pt>
                <c:pt idx="27">
                  <c:v>1383.3185822911228</c:v>
                </c:pt>
                <c:pt idx="28">
                  <c:v>1356.8688900829204</c:v>
                </c:pt>
                <c:pt idx="29">
                  <c:v>1244.8589791881761</c:v>
                </c:pt>
                <c:pt idx="30">
                  <c:v>1309.1400787677055</c:v>
                </c:pt>
                <c:pt idx="31">
                  <c:v>1240.2536099036847</c:v>
                </c:pt>
                <c:pt idx="32">
                  <c:v>1301.9196417122812</c:v>
                </c:pt>
                <c:pt idx="33">
                  <c:v>1293.658951611184</c:v>
                </c:pt>
                <c:pt idx="34">
                  <c:v>1343.8441124056101</c:v>
                </c:pt>
                <c:pt idx="35">
                  <c:v>1378.1395732883602</c:v>
                </c:pt>
                <c:pt idx="36">
                  <c:v>1367.3844214421513</c:v>
                </c:pt>
                <c:pt idx="37">
                  <c:v>1483.0328370289853</c:v>
                </c:pt>
                <c:pt idx="38">
                  <c:v>1487.1169283192787</c:v>
                </c:pt>
                <c:pt idx="39">
                  <c:v>1539.4554820061676</c:v>
                </c:pt>
                <c:pt idx="40">
                  <c:v>1570.5256211177159</c:v>
                </c:pt>
                <c:pt idx="41">
                  <c:v>1683.5959180336181</c:v>
                </c:pt>
                <c:pt idx="42">
                  <c:v>1695.3395378068572</c:v>
                </c:pt>
                <c:pt idx="43">
                  <c:v>1870.6196353910555</c:v>
                </c:pt>
                <c:pt idx="44">
                  <c:v>1950.0907598080182</c:v>
                </c:pt>
                <c:pt idx="45">
                  <c:v>2055.3872160006008</c:v>
                </c:pt>
                <c:pt idx="46">
                  <c:v>2018.2359477155385</c:v>
                </c:pt>
                <c:pt idx="47">
                  <c:v>1973.2516793493603</c:v>
                </c:pt>
                <c:pt idx="48">
                  <c:v>2110.379134441212</c:v>
                </c:pt>
                <c:pt idx="49">
                  <c:v>2127.4293501385391</c:v>
                </c:pt>
                <c:pt idx="50">
                  <c:v>2037.9093378548037</c:v>
                </c:pt>
                <c:pt idx="51">
                  <c:v>1901.5789782247002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4AD-4DDF-A091-10EEBBF48251}"/>
            </c:ext>
          </c:extLst>
        </c:ser>
        <c:ser>
          <c:idx val="5"/>
          <c:order val="5"/>
          <c:tx>
            <c:strRef>
              <c:f>'[PLANTILLA 2023 SE 25.xlsx]Canal endémico 2023_4'!$A$23</c:f>
              <c:strCache>
                <c:ptCount val="1"/>
                <c:pt idx="0">
                  <c:v>Casos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circle"/>
            <c:size val="4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val>
            <c:numRef>
              <c:f>'[PLANTILLA 2023 SE 25.xlsx]Canal endémico 2023_4'!$B$23:$BA$23</c:f>
              <c:numCache>
                <c:formatCode>General</c:formatCode>
                <c:ptCount val="52"/>
                <c:pt idx="0">
                  <c:v>1785</c:v>
                </c:pt>
                <c:pt idx="1">
                  <c:v>1644</c:v>
                </c:pt>
                <c:pt idx="2">
                  <c:v>1702</c:v>
                </c:pt>
                <c:pt idx="3">
                  <c:v>1544</c:v>
                </c:pt>
                <c:pt idx="4">
                  <c:v>1683</c:v>
                </c:pt>
                <c:pt idx="5">
                  <c:v>1783</c:v>
                </c:pt>
                <c:pt idx="6">
                  <c:v>1597</c:v>
                </c:pt>
                <c:pt idx="7">
                  <c:v>1515</c:v>
                </c:pt>
                <c:pt idx="8">
                  <c:v>1679</c:v>
                </c:pt>
                <c:pt idx="9">
                  <c:v>1655</c:v>
                </c:pt>
                <c:pt idx="10">
                  <c:v>1751</c:v>
                </c:pt>
                <c:pt idx="11">
                  <c:v>1858</c:v>
                </c:pt>
                <c:pt idx="12">
                  <c:v>1789</c:v>
                </c:pt>
                <c:pt idx="13">
                  <c:v>1593</c:v>
                </c:pt>
                <c:pt idx="14">
                  <c:v>1988</c:v>
                </c:pt>
                <c:pt idx="15">
                  <c:v>2045</c:v>
                </c:pt>
                <c:pt idx="16">
                  <c:v>2115</c:v>
                </c:pt>
                <c:pt idx="17">
                  <c:v>2680</c:v>
                </c:pt>
                <c:pt idx="18">
                  <c:v>2679</c:v>
                </c:pt>
                <c:pt idx="19">
                  <c:v>2770</c:v>
                </c:pt>
                <c:pt idx="20">
                  <c:v>2702</c:v>
                </c:pt>
                <c:pt idx="21">
                  <c:v>2984</c:v>
                </c:pt>
                <c:pt idx="22">
                  <c:v>2946</c:v>
                </c:pt>
                <c:pt idx="23">
                  <c:v>2645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4AD-4DDF-A091-10EEBBF482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61630415"/>
        <c:axId val="855986623"/>
        <c:extLst>
          <c:ext xmlns:c15="http://schemas.microsoft.com/office/drawing/2012/chart" uri="{02D57815-91ED-43cb-92C2-25804820EDAC}">
            <c15:filteredLine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'[PLANTILLA 2023 SE 25.xlsx]Canal endémico 2023_4'!$A$18</c15:sqref>
                        </c15:formulaRef>
                      </c:ext>
                    </c:extLst>
                    <c:strCache>
                      <c:ptCount val="1"/>
                      <c:pt idx="0">
                        <c:v>desv est</c:v>
                      </c:pt>
                    </c:strCache>
                  </c:strRef>
                </c:tx>
                <c:spPr>
                  <a:ln w="28575" cap="rnd">
                    <a:solidFill>
                      <a:schemeClr val="accent2"/>
                    </a:solidFill>
                    <a:round/>
                  </a:ln>
                  <a:effectLst/>
                </c:spPr>
                <c:marker>
                  <c:symbol val="none"/>
                </c:marker>
                <c:val>
                  <c:numRef>
                    <c:extLst>
                      <c:ext uri="{02D57815-91ED-43cb-92C2-25804820EDAC}">
                        <c15:formulaRef>
                          <c15:sqref>'[PLANTILLA 2023 SE 25.xlsx]Canal endémico 2023_4'!$B$18:$BA$18</c15:sqref>
                        </c15:formulaRef>
                      </c:ext>
                    </c:extLst>
                    <c:numCache>
                      <c:formatCode>0</c:formatCode>
                      <c:ptCount val="52"/>
                      <c:pt idx="0">
                        <c:v>735.11724688424147</c:v>
                      </c:pt>
                      <c:pt idx="1">
                        <c:v>599.88646147972588</c:v>
                      </c:pt>
                      <c:pt idx="2">
                        <c:v>575.76522993317337</c:v>
                      </c:pt>
                      <c:pt idx="3">
                        <c:v>583.55416772281444</c:v>
                      </c:pt>
                      <c:pt idx="4">
                        <c:v>673.45913016307088</c:v>
                      </c:pt>
                      <c:pt idx="5">
                        <c:v>632.12076905182175</c:v>
                      </c:pt>
                      <c:pt idx="6">
                        <c:v>677.52325913334266</c:v>
                      </c:pt>
                      <c:pt idx="7">
                        <c:v>687.67773460151136</c:v>
                      </c:pt>
                      <c:pt idx="8">
                        <c:v>730.10074647270426</c:v>
                      </c:pt>
                      <c:pt idx="9">
                        <c:v>712.93012747860962</c:v>
                      </c:pt>
                      <c:pt idx="10">
                        <c:v>738.36506327606435</c:v>
                      </c:pt>
                      <c:pt idx="11">
                        <c:v>651.5775983462496</c:v>
                      </c:pt>
                      <c:pt idx="12">
                        <c:v>661.1776362420818</c:v>
                      </c:pt>
                      <c:pt idx="13">
                        <c:v>710.03492871829906</c:v>
                      </c:pt>
                      <c:pt idx="14">
                        <c:v>611.09726448959543</c:v>
                      </c:pt>
                      <c:pt idx="15">
                        <c:v>587.25715548358085</c:v>
                      </c:pt>
                      <c:pt idx="16">
                        <c:v>638.27517576669084</c:v>
                      </c:pt>
                      <c:pt idx="17">
                        <c:v>598.74958594279349</c:v>
                      </c:pt>
                      <c:pt idx="18">
                        <c:v>593.95535746945382</c:v>
                      </c:pt>
                      <c:pt idx="19">
                        <c:v>542.08145144433786</c:v>
                      </c:pt>
                      <c:pt idx="20">
                        <c:v>540.95680665526947</c:v>
                      </c:pt>
                      <c:pt idx="21">
                        <c:v>484.12753140744496</c:v>
                      </c:pt>
                      <c:pt idx="22">
                        <c:v>445.49900860346099</c:v>
                      </c:pt>
                      <c:pt idx="23">
                        <c:v>415.42592600847627</c:v>
                      </c:pt>
                      <c:pt idx="24">
                        <c:v>405.30515252913648</c:v>
                      </c:pt>
                      <c:pt idx="25">
                        <c:v>448.73273411538253</c:v>
                      </c:pt>
                      <c:pt idx="26">
                        <c:v>433.08151657626769</c:v>
                      </c:pt>
                      <c:pt idx="27">
                        <c:v>440.06882037548013</c:v>
                      </c:pt>
                      <c:pt idx="28">
                        <c:v>439.47669638635745</c:v>
                      </c:pt>
                      <c:pt idx="29">
                        <c:v>372.44865417933784</c:v>
                      </c:pt>
                      <c:pt idx="30">
                        <c:v>414.66874329597908</c:v>
                      </c:pt>
                      <c:pt idx="31">
                        <c:v>351.68148467991119</c:v>
                      </c:pt>
                      <c:pt idx="32">
                        <c:v>418.18544530706299</c:v>
                      </c:pt>
                      <c:pt idx="33">
                        <c:v>385.63648686295232</c:v>
                      </c:pt>
                      <c:pt idx="34">
                        <c:v>412.46450352323245</c:v>
                      </c:pt>
                      <c:pt idx="35">
                        <c:v>452.04719517619685</c:v>
                      </c:pt>
                      <c:pt idx="36">
                        <c:v>456.66997565711131</c:v>
                      </c:pt>
                      <c:pt idx="37">
                        <c:v>476.6473539211143</c:v>
                      </c:pt>
                      <c:pt idx="38">
                        <c:v>487.52668303044356</c:v>
                      </c:pt>
                      <c:pt idx="39">
                        <c:v>498.75792391366235</c:v>
                      </c:pt>
                      <c:pt idx="40">
                        <c:v>530.96041911489658</c:v>
                      </c:pt>
                      <c:pt idx="41">
                        <c:v>581.17756896379512</c:v>
                      </c:pt>
                      <c:pt idx="42">
                        <c:v>599.20728188721705</c:v>
                      </c:pt>
                      <c:pt idx="43">
                        <c:v>704.61916427717665</c:v>
                      </c:pt>
                      <c:pt idx="44">
                        <c:v>720.02298574420524</c:v>
                      </c:pt>
                      <c:pt idx="45">
                        <c:v>798.44333967205637</c:v>
                      </c:pt>
                      <c:pt idx="46">
                        <c:v>744.51881552225859</c:v>
                      </c:pt>
                      <c:pt idx="47">
                        <c:v>729.57686366824987</c:v>
                      </c:pt>
                      <c:pt idx="48">
                        <c:v>797.38413996433792</c:v>
                      </c:pt>
                      <c:pt idx="49">
                        <c:v>780.22956023638756</c:v>
                      </c:pt>
                      <c:pt idx="50">
                        <c:v>726.40447869397588</c:v>
                      </c:pt>
                      <c:pt idx="51">
                        <c:v>780.84945198589128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4-74AD-4DDF-A091-10EEBBF48251}"/>
                  </c:ext>
                </c:extLst>
              </c15:ser>
            </c15:filteredLineSeries>
            <c15:filteredLine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'[PLANTILLA 2023 SE 25.xlsx]Canal endémico 2023_4'!$A$19</c15:sqref>
                        </c15:formulaRef>
                      </c:ext>
                    </c:extLst>
                    <c:strCache>
                      <c:ptCount val="1"/>
                      <c:pt idx="0">
                        <c:v>error estandar</c:v>
                      </c:pt>
                    </c:strCache>
                  </c:strRef>
                </c:tx>
                <c:spPr>
                  <a:ln w="28575" cap="rnd">
                    <a:solidFill>
                      <a:schemeClr val="accent3"/>
                    </a:solidFill>
                    <a:round/>
                  </a:ln>
                  <a:effectLst/>
                </c:spPr>
                <c:marker>
                  <c:symbol val="none"/>
                </c:marker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'[PLANTILLA 2023 SE 25.xlsx]Canal endémico 2023_4'!$B$19:$BA$19</c15:sqref>
                        </c15:formulaRef>
                      </c:ext>
                    </c:extLst>
                    <c:numCache>
                      <c:formatCode>0</c:formatCode>
                      <c:ptCount val="52"/>
                      <c:pt idx="0">
                        <c:v>300.11035933099316</c:v>
                      </c:pt>
                      <c:pt idx="1">
                        <c:v>244.90262237151413</c:v>
                      </c:pt>
                      <c:pt idx="2">
                        <c:v>235.05517082875107</c:v>
                      </c:pt>
                      <c:pt idx="3">
                        <c:v>238.23499136590141</c:v>
                      </c:pt>
                      <c:pt idx="4">
                        <c:v>274.9385385863539</c:v>
                      </c:pt>
                      <c:pt idx="5">
                        <c:v>258.0622233321086</c:v>
                      </c:pt>
                      <c:pt idx="6">
                        <c:v>276.59771229069202</c:v>
                      </c:pt>
                      <c:pt idx="7">
                        <c:v>280.74325954112913</c:v>
                      </c:pt>
                      <c:pt idx="8">
                        <c:v>298.06238161387182</c:v>
                      </c:pt>
                      <c:pt idx="9">
                        <c:v>291.05250576332634</c:v>
                      </c:pt>
                      <c:pt idx="10">
                        <c:v>301.43627482069536</c:v>
                      </c:pt>
                      <c:pt idx="11">
                        <c:v>266.005440629406</c:v>
                      </c:pt>
                      <c:pt idx="12">
                        <c:v>269.9246396887678</c:v>
                      </c:pt>
                      <c:pt idx="13">
                        <c:v>289.87054581887645</c:v>
                      </c:pt>
                      <c:pt idx="14">
                        <c:v>249.47941353502051</c:v>
                      </c:pt>
                      <c:pt idx="15">
                        <c:v>239.74672978884291</c:v>
                      </c:pt>
                      <c:pt idx="16">
                        <c:v>260.57474935227327</c:v>
                      </c:pt>
                      <c:pt idx="17">
                        <c:v>244.4384948770913</c:v>
                      </c:pt>
                      <c:pt idx="18">
                        <c:v>242.48125929875718</c:v>
                      </c:pt>
                      <c:pt idx="19">
                        <c:v>221.30382584432053</c:v>
                      </c:pt>
                      <c:pt idx="20">
                        <c:v>220.84469153180424</c:v>
                      </c:pt>
                      <c:pt idx="21">
                        <c:v>197.64423706357957</c:v>
                      </c:pt>
                      <c:pt idx="22">
                        <c:v>181.87420866570878</c:v>
                      </c:pt>
                      <c:pt idx="23">
                        <c:v>169.59692410732771</c:v>
                      </c:pt>
                      <c:pt idx="24">
                        <c:v>165.46513563621522</c:v>
                      </c:pt>
                      <c:pt idx="25">
                        <c:v>183.19437157778012</c:v>
                      </c:pt>
                      <c:pt idx="26">
                        <c:v>176.80478877375845</c:v>
                      </c:pt>
                      <c:pt idx="27">
                        <c:v>179.6573436047386</c:v>
                      </c:pt>
                      <c:pt idx="28">
                        <c:v>179.41560999843662</c:v>
                      </c:pt>
                      <c:pt idx="29">
                        <c:v>152.05152635428121</c:v>
                      </c:pt>
                      <c:pt idx="30">
                        <c:v>169.28780555938192</c:v>
                      </c:pt>
                      <c:pt idx="31">
                        <c:v>143.57336490836698</c:v>
                      </c:pt>
                      <c:pt idx="32">
                        <c:v>170.72349314347778</c:v>
                      </c:pt>
                      <c:pt idx="33">
                        <c:v>157.43543650229026</c:v>
                      </c:pt>
                      <c:pt idx="34">
                        <c:v>168.38792844038568</c:v>
                      </c:pt>
                      <c:pt idx="35">
                        <c:v>184.54749463966661</c:v>
                      </c:pt>
                      <c:pt idx="36">
                        <c:v>186.43473686818965</c:v>
                      </c:pt>
                      <c:pt idx="37">
                        <c:v>194.59046739241882</c:v>
                      </c:pt>
                      <c:pt idx="38">
                        <c:v>199.03193490269621</c:v>
                      </c:pt>
                      <c:pt idx="39">
                        <c:v>203.61706979305814</c:v>
                      </c:pt>
                      <c:pt idx="40">
                        <c:v>216.76368340763275</c:v>
                      </c:pt>
                      <c:pt idx="41">
                        <c:v>237.26474898541323</c:v>
                      </c:pt>
                      <c:pt idx="42">
                        <c:v>244.62534846395445</c:v>
                      </c:pt>
                      <c:pt idx="43">
                        <c:v>287.65956924423324</c:v>
                      </c:pt>
                      <c:pt idx="44">
                        <c:v>293.94815302475826</c:v>
                      </c:pt>
                      <c:pt idx="45">
                        <c:v>325.96312845337457</c:v>
                      </c:pt>
                      <c:pt idx="46">
                        <c:v>303.94853365514228</c:v>
                      </c:pt>
                      <c:pt idx="47">
                        <c:v>297.84850735454989</c:v>
                      </c:pt>
                      <c:pt idx="48">
                        <c:v>325.53071198343866</c:v>
                      </c:pt>
                      <c:pt idx="49">
                        <c:v>318.5273841358769</c:v>
                      </c:pt>
                      <c:pt idx="50">
                        <c:v>296.55338661210931</c:v>
                      </c:pt>
                      <c:pt idx="51">
                        <c:v>318.78045388288444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74AD-4DDF-A091-10EEBBF48251}"/>
                  </c:ext>
                </c:extLst>
              </c15:ser>
            </c15:filteredLineSeries>
          </c:ext>
        </c:extLst>
      </c:lineChart>
      <c:catAx>
        <c:axId val="861630415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7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Semana epidemiológica</a:t>
                </a:r>
              </a:p>
            </c:rich>
          </c:tx>
          <c:layout>
            <c:manualLayout>
              <c:xMode val="edge"/>
              <c:yMode val="edge"/>
              <c:x val="0.44548142993082929"/>
              <c:y val="0.8695207077526706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7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855986623"/>
        <c:crosses val="autoZero"/>
        <c:auto val="1"/>
        <c:lblAlgn val="ctr"/>
        <c:lblOffset val="100"/>
        <c:noMultiLvlLbl val="0"/>
      </c:catAx>
      <c:valAx>
        <c:axId val="855986623"/>
        <c:scaling>
          <c:orientation val="minMax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7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Casos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7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numFmt formatCode="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86163041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700">
          <a:solidFill>
            <a:sysClr val="windowText" lastClr="000000"/>
          </a:solidFill>
        </a:defRPr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73EC7B85FCD94482889CA315DD0A8A" ma:contentTypeVersion="28" ma:contentTypeDescription="Crear nuevo documento." ma:contentTypeScope="" ma:versionID="7d6b4cb7e799ed37402c2499828fb2ae">
  <xsd:schema xmlns:xsd="http://www.w3.org/2001/XMLSchema" xmlns:xs="http://www.w3.org/2001/XMLSchema" xmlns:p="http://schemas.microsoft.com/office/2006/metadata/properties" xmlns:ns2="431a580c-3c7c-46a5-89b7-50701eb43ee6" xmlns:ns3="3bfbf733-a6c3-488d-a481-abc1b690c7db" targetNamespace="http://schemas.microsoft.com/office/2006/metadata/properties" ma:root="true" ma:fieldsID="effccf2bb857ec741925ab0d5c1a9ced" ns2:_="" ns3:_="">
    <xsd:import namespace="431a580c-3c7c-46a5-89b7-50701eb43ee6"/>
    <xsd:import namespace="3bfbf733-a6c3-488d-a481-abc1b690c7db"/>
    <xsd:element name="properties">
      <xsd:complexType>
        <xsd:sequence>
          <xsd:element name="documentManagement">
            <xsd:complexType>
              <xsd:all>
                <xsd:element ref="ns2:pregunta_1" minOccurs="0"/>
                <xsd:element ref="ns2:pregunta_2" minOccurs="0"/>
                <xsd:element ref="ns2:pregunta_3" minOccurs="0"/>
                <xsd:element ref="ns2:pregunta_4" minOccurs="0"/>
                <xsd:element ref="ns2:pregunta_5" minOccurs="0"/>
                <xsd:element ref="ns2:pregunta_6" minOccurs="0"/>
                <xsd:element ref="ns2:pregunta_7" minOccurs="0"/>
                <xsd:element ref="ns2:pregunta_8" minOccurs="0"/>
                <xsd:element ref="ns2:pregunta_9" minOccurs="0"/>
                <xsd:element ref="ns2:autor"/>
                <xsd:element ref="ns2:autor_x003a_correo" minOccurs="0"/>
                <xsd:element ref="ns2:autor_x003a_ID" minOccurs="0"/>
                <xsd:element ref="ns3:SharedWithUsers" minOccurs="0"/>
                <xsd:element ref="ns2:Etapa" minOccurs="0"/>
                <xsd:element ref="ns2:Revision_x0020_ET3" minOccurs="0"/>
                <xsd:element ref="ns2:Revisi_x00f3_n_x0020_par1" minOccurs="0"/>
                <xsd:element ref="ns2:Revisi_x00f3_n_x0020_par_x0020_2" minOccurs="0"/>
                <xsd:element ref="ns2:Revisi_x00f3_n_x0020_par_x0020_3" minOccurs="0"/>
                <xsd:element ref="ns2:Estado_x0020_comite_x0020_editorial" minOccurs="0"/>
                <xsd:element ref="ns2:Corrector_x0020_de_x0020_estil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a580c-3c7c-46a5-89b7-50701eb43ee6" elementFormDefault="qualified">
    <xsd:import namespace="http://schemas.microsoft.com/office/2006/documentManagement/types"/>
    <xsd:import namespace="http://schemas.microsoft.com/office/infopath/2007/PartnerControls"/>
    <xsd:element name="pregunta_1" ma:index="8" nillable="true" ma:displayName="¿Cumple con las temáticas principales estipuladas en las pautas para el autor?" ma:default="0" ma:internalName="pregunta_1">
      <xsd:simpleType>
        <xsd:restriction base="dms:Boolean"/>
      </xsd:simpleType>
    </xsd:element>
    <xsd:element name="pregunta_2" ma:index="9" nillable="true" ma:displayName="¿Cumple con la estructura IMRD (introducción, metodología, resultados y discusión)?" ma:default="0" ma:internalName="pregunta_2">
      <xsd:simpleType>
        <xsd:restriction base="dms:Boolean"/>
      </xsd:simpleType>
    </xsd:element>
    <xsd:element name="pregunta_3" ma:index="10" nillable="true" ma:displayName="¿Cumple con la normatividad Vancouver - Estructura de documento y referenciación bibliográfica?" ma:default="0" ma:internalName="pregunta_3">
      <xsd:simpleType>
        <xsd:restriction base="dms:Boolean"/>
      </xsd:simpleType>
    </xsd:element>
    <xsd:element name="pregunta_4" ma:index="11" nillable="true" ma:displayName="¿El artículo es inédito?" ma:default="0" ma:internalName="pregunta_4">
      <xsd:simpleType>
        <xsd:restriction base="dms:Boolean"/>
      </xsd:simpleType>
    </xsd:element>
    <xsd:element name="pregunta_5" ma:index="12" nillable="true" ma:displayName="¿Existen conflictos de interés?" ma:default="0" ma:internalName="pregunta_5">
      <xsd:simpleType>
        <xsd:restriction base="dms:Boolean"/>
      </xsd:simpleType>
    </xsd:element>
    <xsd:element name="pregunta_6" ma:index="13" nillable="true" ma:displayName="¿Cumple el articulo con el principio de confidencialidad Ley 1581 del 2012?" ma:default="0" ma:internalName="pregunta_6">
      <xsd:simpleType>
        <xsd:restriction base="dms:Boolean"/>
      </xsd:simpleType>
    </xsd:element>
    <xsd:element name="pregunta_7" ma:index="14" nillable="true" ma:displayName="¿Cumplen con los principios de derechos de autor?" ma:default="0" ma:internalName="pregunta_7">
      <xsd:simpleType>
        <xsd:restriction base="dms:Boolean"/>
      </xsd:simpleType>
    </xsd:element>
    <xsd:element name="pregunta_8" ma:index="15" nillable="true" ma:displayName="¿Cumple con un resumen estructurado de máximo 300 palabras?" ma:default="1" ma:internalName="pregunta_8">
      <xsd:simpleType>
        <xsd:restriction base="dms:Boolean"/>
      </xsd:simpleType>
    </xsd:element>
    <xsd:element name="pregunta_9" ma:index="16" nillable="true" ma:displayName="¿Se incluyeron en el manuscrito mínimo 5 palabras claves (DeCS)?" ma:default="0" ma:internalName="pregunta_9">
      <xsd:simpleType>
        <xsd:restriction base="dms:Boolean"/>
      </xsd:simpleType>
    </xsd:element>
    <xsd:element name="autor" ma:index="17" ma:displayName="autor" ma:list="{6011486d-98ee-4442-bd19-3aa5633a74da}" ma:internalName="autor" ma:readOnly="false" ma:showField="Title">
      <xsd:simpleType>
        <xsd:restriction base="dms:Lookup"/>
      </xsd:simpleType>
    </xsd:element>
    <xsd:element name="autor_x003a_correo" ma:index="18" nillable="true" ma:displayName="autor:correo" ma:list="{6011486d-98ee-4442-bd19-3aa5633a74da}" ma:internalName="autor_x003a_correo" ma:readOnly="true" ma:showField="correo" ma:web="fdb617d6-7a4e-41a3-b7da-9d6eedd51d5c">
      <xsd:simpleType>
        <xsd:restriction base="dms:Lookup"/>
      </xsd:simpleType>
    </xsd:element>
    <xsd:element name="autor_x003a_ID" ma:index="19" nillable="true" ma:displayName="autor:ID" ma:list="{6011486d-98ee-4442-bd19-3aa5633a74da}" ma:internalName="autor_x003a_ID" ma:readOnly="true" ma:showField="ID" ma:web="fdb617d6-7a4e-41a3-b7da-9d6eedd51d5c">
      <xsd:simpleType>
        <xsd:restriction base="dms:Lookup"/>
      </xsd:simpleType>
    </xsd:element>
    <xsd:element name="Etapa" ma:index="22" nillable="true" ma:displayName="Etapa" ma:format="Dropdown" ma:internalName="Etapa">
      <xsd:simpleType>
        <xsd:restriction base="dms:Choice">
          <xsd:enumeration value="Etapa 1 - Recepción"/>
          <xsd:enumeration value="Etapa 2 - Revisión Editorial Preliminar"/>
          <xsd:enumeration value="Etapa 3 - Revisión Pares Académicos"/>
          <xsd:enumeration value="Etapa 4 - Revisión Comité Editorial"/>
          <xsd:enumeration value="Etapa 5 - Revisión de Corrección De Estilo"/>
          <xsd:enumeration value="Etapa 6 - Diagramación"/>
          <xsd:enumeration value="Etapa 7 - Publicación"/>
        </xsd:restriction>
      </xsd:simpleType>
    </xsd:element>
    <xsd:element name="Revision_x0020_ET3" ma:index="24" nillable="true" ma:displayName="Revision ET3" ma:format="Dropdown" ma:internalName="Revision_x0020_ET3">
      <xsd:simpleType>
        <xsd:restriction base="dms:Choice">
          <xsd:enumeration value="1. Por pares Académicos."/>
          <xsd:enumeration value="2. Por Comité Editorial."/>
        </xsd:restriction>
      </xsd:simpleType>
    </xsd:element>
    <xsd:element name="Revisi_x00f3_n_x0020_par1" ma:index="26" nillable="true" ma:displayName="Revisión par 1" ma:format="Dropdown" ma:internalName="Revisi_x00f3_n_x0020_par1">
      <xsd:simpleType>
        <xsd:restriction base="dms:Choice">
          <xsd:enumeration value="Aprobado"/>
          <xsd:enumeration value="Aprobado con modificaciones"/>
          <xsd:enumeration value="Rechazado"/>
        </xsd:restriction>
      </xsd:simpleType>
    </xsd:element>
    <xsd:element name="Revisi_x00f3_n_x0020_par_x0020_2" ma:index="27" nillable="true" ma:displayName="Revisión par 2" ma:format="Dropdown" ma:internalName="Revisi_x00f3_n_x0020_par_x0020_2">
      <xsd:simpleType>
        <xsd:restriction base="dms:Choice">
          <xsd:enumeration value="Aprobado"/>
          <xsd:enumeration value="Aprobado con modificaciones"/>
          <xsd:enumeration value="Rechazado"/>
        </xsd:restriction>
      </xsd:simpleType>
    </xsd:element>
    <xsd:element name="Revisi_x00f3_n_x0020_par_x0020_3" ma:index="28" nillable="true" ma:displayName="Revisión par 3" ma:format="Dropdown" ma:internalName="Revisi_x00f3_n_x0020_par_x0020_3">
      <xsd:simpleType>
        <xsd:restriction base="dms:Choice">
          <xsd:enumeration value="Aprobado"/>
          <xsd:enumeration value="Aprobado con modificaciones"/>
          <xsd:enumeration value="Rechazado"/>
        </xsd:restriction>
      </xsd:simpleType>
    </xsd:element>
    <xsd:element name="Estado_x0020_comite_x0020_editorial" ma:index="29" nillable="true" ma:displayName="Estado comite editorial" ma:internalName="Estado_x0020_comite_x0020_editorial">
      <xsd:simpleType>
        <xsd:restriction base="dms:Text">
          <xsd:maxLength value="255"/>
        </xsd:restriction>
      </xsd:simpleType>
    </xsd:element>
    <xsd:element name="Corrector_x0020_de_x0020_estilo" ma:index="31" nillable="true" ma:displayName="Corrector de estilo" ma:indexed="true" ma:list="{261c5798-bb01-4e7b-9208-bf0d861e0956}" ma:internalName="Corrector_x0020_de_x0020_estilo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bf733-a6c3-488d-a481-abc1b690c7d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sion_x0020_ET3 xmlns="431a580c-3c7c-46a5-89b7-50701eb43ee6" xsi:nil="true"/>
    <pregunta_1 xmlns="431a580c-3c7c-46a5-89b7-50701eb43ee6">true</pregunta_1>
    <pregunta_4 xmlns="431a580c-3c7c-46a5-89b7-50701eb43ee6">false</pregunta_4>
    <Revisi_x00f3_n_x0020_par_x0020_2 xmlns="431a580c-3c7c-46a5-89b7-50701eb43ee6" xsi:nil="true"/>
    <Etapa xmlns="431a580c-3c7c-46a5-89b7-50701eb43ee6">Etapa 2 - Revisión Editorial Preliminar</Etapa>
    <Corrector_x0020_de_x0020_estilo xmlns="431a580c-3c7c-46a5-89b7-50701eb43ee6" xsi:nil="true"/>
    <Estado_x0020_comite_x0020_editorial xmlns="431a580c-3c7c-46a5-89b7-50701eb43ee6" xsi:nil="true"/>
    <pregunta_7 xmlns="431a580c-3c7c-46a5-89b7-50701eb43ee6">true</pregunta_7>
    <pregunta_3 xmlns="431a580c-3c7c-46a5-89b7-50701eb43ee6">true</pregunta_3>
    <pregunta_6 xmlns="431a580c-3c7c-46a5-89b7-50701eb43ee6">true</pregunta_6>
    <pregunta_9 xmlns="431a580c-3c7c-46a5-89b7-50701eb43ee6">true</pregunta_9>
    <autor xmlns="431a580c-3c7c-46a5-89b7-50701eb43ee6">64</autor>
    <Revisi_x00f3_n_x0020_par1 xmlns="431a580c-3c7c-46a5-89b7-50701eb43ee6" xsi:nil="true"/>
    <pregunta_2 xmlns="431a580c-3c7c-46a5-89b7-50701eb43ee6">true</pregunta_2>
    <pregunta_5 xmlns="431a580c-3c7c-46a5-89b7-50701eb43ee6">true</pregunta_5>
    <pregunta_8 xmlns="431a580c-3c7c-46a5-89b7-50701eb43ee6">true</pregunta_8>
    <Revisi_x00f3_n_x0020_par_x0020_3 xmlns="431a580c-3c7c-46a5-89b7-50701eb43ee6" xsi:nil="true"/>
  </documentManagement>
</p:properties>
</file>

<file path=customXml/itemProps1.xml><?xml version="1.0" encoding="utf-8"?>
<ds:datastoreItem xmlns:ds="http://schemas.openxmlformats.org/officeDocument/2006/customXml" ds:itemID="{9024912A-271A-40E8-BA7E-69BEE1F118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BEBFC6-0D99-4A21-85B1-CF05B415A1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0F966B-E949-4396-82D5-84136EE94527}"/>
</file>

<file path=customXml/itemProps4.xml><?xml version="1.0" encoding="utf-8"?>
<ds:datastoreItem xmlns:ds="http://schemas.openxmlformats.org/officeDocument/2006/customXml" ds:itemID="{FAE370A7-B392-48DB-A976-C90CB83AA864}">
  <ds:schemaRefs>
    <ds:schemaRef ds:uri="http://schemas.microsoft.com/office/2006/metadata/properties"/>
    <ds:schemaRef ds:uri="http://schemas.microsoft.com/office/infopath/2007/PartnerControls"/>
    <ds:schemaRef ds:uri="29c322f4-57d9-426c-927f-e4e945db11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8</Pages>
  <Words>1683</Words>
  <Characters>9257</Characters>
  <Application>Microsoft Office Word</Application>
  <DocSecurity>0</DocSecurity>
  <Lines>77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</dc:title>
  <dc:subject/>
  <dc:creator>Jessika Alexandra Manrique Sanchez</dc:creator>
  <cp:keywords/>
  <dc:description/>
  <cp:lastModifiedBy>Andrea Jineth Rodriguez Reyes</cp:lastModifiedBy>
  <cp:revision>110</cp:revision>
  <dcterms:created xsi:type="dcterms:W3CDTF">2023-06-16T14:57:00Z</dcterms:created>
  <dcterms:modified xsi:type="dcterms:W3CDTF">2023-06-29T14:54:00Z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0x0101006A73EC7B85FCD94482889CA315DD0A8A</vt:lpwstr>
  </property>
  <property fmtid="{D5CDD505-2E9C-101B-9397-08002B2CF9AE}" pid="3" name="WorkflowChangePath">
    <vt:lpwstr>dd0f0829-5584-4965-911f-27d6582183eb,3;dd0f0829-5584-4965-911f-27d6582183eb,3;</vt:lpwstr>
  </property>
</Properties>
</file>